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8F8CEA" w14:textId="125F43BB" w:rsidR="00B70221" w:rsidRPr="00B70221" w:rsidRDefault="00B70221" w:rsidP="00F338B9">
      <w:pPr>
        <w:shd w:val="clear" w:color="auto" w:fill="F2F2F2" w:themeFill="background1" w:themeFillShade="F2"/>
        <w:spacing w:line="312" w:lineRule="auto"/>
        <w:jc w:val="center"/>
        <w:rPr>
          <w:rFonts w:ascii="Times New Roman" w:hAnsi="Times New Roman" w:cs="Times New Roman"/>
          <w:b/>
          <w:bCs w:val="0"/>
          <w:sz w:val="22"/>
          <w:szCs w:val="22"/>
        </w:rPr>
      </w:pPr>
      <w:r w:rsidRPr="00B70221">
        <w:rPr>
          <w:rFonts w:ascii="Times New Roman" w:hAnsi="Times New Roman" w:cs="Times New Roman"/>
          <w:b/>
          <w:bCs w:val="0"/>
          <w:sz w:val="22"/>
          <w:szCs w:val="22"/>
        </w:rPr>
        <w:t>Kapitel 22 – Wirtschaftspolitik in der offenen Volkswirtschaft</w:t>
      </w:r>
    </w:p>
    <w:p w14:paraId="5649B517" w14:textId="2A11B66E" w:rsidR="00241D63" w:rsidRPr="00B70221" w:rsidRDefault="00241D63" w:rsidP="00F338B9">
      <w:pPr>
        <w:shd w:val="clear" w:color="auto" w:fill="F2F2F2" w:themeFill="background1" w:themeFillShade="F2"/>
        <w:spacing w:line="312" w:lineRule="auto"/>
        <w:jc w:val="center"/>
        <w:rPr>
          <w:rFonts w:ascii="Times New Roman" w:hAnsi="Times New Roman" w:cs="Times New Roman"/>
          <w:b/>
          <w:bCs w:val="0"/>
          <w:sz w:val="22"/>
          <w:szCs w:val="22"/>
        </w:rPr>
      </w:pPr>
      <w:r w:rsidRPr="00B70221">
        <w:rPr>
          <w:rFonts w:ascii="Times New Roman" w:hAnsi="Times New Roman" w:cs="Times New Roman"/>
          <w:b/>
          <w:bCs w:val="0"/>
          <w:sz w:val="22"/>
          <w:szCs w:val="22"/>
        </w:rPr>
        <w:t xml:space="preserve">Exkurs </w:t>
      </w:r>
      <w:r w:rsidR="00B70221" w:rsidRPr="00B70221">
        <w:rPr>
          <w:rFonts w:ascii="Times New Roman" w:hAnsi="Times New Roman" w:cs="Times New Roman"/>
          <w:b/>
          <w:bCs w:val="0"/>
          <w:sz w:val="22"/>
          <w:szCs w:val="22"/>
        </w:rPr>
        <w:t>„Baseler Ausschuss“</w:t>
      </w:r>
    </w:p>
    <w:p w14:paraId="696C7535" w14:textId="77777777" w:rsidR="00241D63" w:rsidRDefault="00241D63" w:rsidP="002B3DB4">
      <w:pPr>
        <w:spacing w:line="312" w:lineRule="auto"/>
        <w:rPr>
          <w:rFonts w:ascii="Times New Roman" w:hAnsi="Times New Roman" w:cs="Times New Roman"/>
          <w:sz w:val="22"/>
          <w:szCs w:val="22"/>
        </w:rPr>
      </w:pPr>
    </w:p>
    <w:p w14:paraId="3480B39A" w14:textId="1D0FE6D3" w:rsidR="00B70221" w:rsidRPr="00B70221" w:rsidRDefault="00B70221" w:rsidP="006121BB">
      <w:pPr>
        <w:spacing w:after="120" w:line="312" w:lineRule="auto"/>
        <w:rPr>
          <w:rFonts w:ascii="Times New Roman" w:hAnsi="Times New Roman" w:cs="Times New Roman"/>
          <w:b/>
          <w:bCs w:val="0"/>
          <w:sz w:val="22"/>
          <w:szCs w:val="22"/>
        </w:rPr>
      </w:pPr>
      <w:r w:rsidRPr="00B70221">
        <w:rPr>
          <w:rFonts w:ascii="Times New Roman" w:hAnsi="Times New Roman" w:cs="Times New Roman"/>
          <w:b/>
          <w:bCs w:val="0"/>
          <w:sz w:val="22"/>
          <w:szCs w:val="22"/>
        </w:rPr>
        <w:t>Gründung und Zielsetzung des Basler Ausschusses</w:t>
      </w:r>
    </w:p>
    <w:p w14:paraId="4129D57F" w14:textId="7646E82E" w:rsidR="002B3DB4" w:rsidRDefault="002B3DB4" w:rsidP="006121BB">
      <w:pPr>
        <w:spacing w:after="120" w:line="276" w:lineRule="auto"/>
        <w:jc w:val="both"/>
        <w:rPr>
          <w:rFonts w:ascii="Times New Roman" w:hAnsi="Times New Roman" w:cs="Times New Roman"/>
          <w:sz w:val="22"/>
          <w:szCs w:val="22"/>
        </w:rPr>
      </w:pPr>
      <w:r w:rsidRPr="002B3DB4">
        <w:rPr>
          <w:rFonts w:ascii="Times New Roman" w:hAnsi="Times New Roman" w:cs="Times New Roman"/>
          <w:sz w:val="22"/>
          <w:szCs w:val="22"/>
        </w:rPr>
        <w:t xml:space="preserve">Der </w:t>
      </w:r>
      <w:r w:rsidRPr="002B3DB4">
        <w:rPr>
          <w:rFonts w:ascii="Times New Roman" w:hAnsi="Times New Roman" w:cs="Times New Roman"/>
          <w:b/>
          <w:bCs w:val="0"/>
          <w:sz w:val="22"/>
          <w:szCs w:val="22"/>
        </w:rPr>
        <w:t>Basler Ausschuss</w:t>
      </w:r>
      <w:r w:rsidRPr="002B3DB4">
        <w:rPr>
          <w:rFonts w:ascii="Times New Roman" w:hAnsi="Times New Roman" w:cs="Times New Roman"/>
          <w:sz w:val="22"/>
          <w:szCs w:val="22"/>
        </w:rPr>
        <w:t xml:space="preserve"> </w:t>
      </w:r>
      <w:r w:rsidR="000750FC">
        <w:rPr>
          <w:rFonts w:ascii="Times New Roman" w:hAnsi="Times New Roman" w:cs="Times New Roman"/>
          <w:sz w:val="22"/>
          <w:szCs w:val="22"/>
        </w:rPr>
        <w:t>–</w:t>
      </w:r>
      <w:r w:rsidRPr="002B3DB4">
        <w:rPr>
          <w:rFonts w:ascii="Times New Roman" w:hAnsi="Times New Roman" w:cs="Times New Roman"/>
          <w:sz w:val="22"/>
          <w:szCs w:val="22"/>
        </w:rPr>
        <w:t xml:space="preserve"> ursprünglich als Ausschuss für Bankenregulierung und -aufsicht bezeichnet </w:t>
      </w:r>
      <w:r w:rsidR="000750FC">
        <w:rPr>
          <w:rFonts w:ascii="Times New Roman" w:hAnsi="Times New Roman" w:cs="Times New Roman"/>
          <w:sz w:val="22"/>
          <w:szCs w:val="22"/>
        </w:rPr>
        <w:t>–</w:t>
      </w:r>
      <w:r w:rsidRPr="002B3DB4">
        <w:rPr>
          <w:rFonts w:ascii="Times New Roman" w:hAnsi="Times New Roman" w:cs="Times New Roman"/>
          <w:sz w:val="22"/>
          <w:szCs w:val="22"/>
        </w:rPr>
        <w:t>wurde 1974 von den Zentralbankpräsidenten der Zehnergruppe</w:t>
      </w:r>
      <w:r>
        <w:rPr>
          <w:rFonts w:ascii="Times New Roman" w:hAnsi="Times New Roman" w:cs="Times New Roman"/>
          <w:sz w:val="22"/>
          <w:szCs w:val="22"/>
        </w:rPr>
        <w:t xml:space="preserve"> </w:t>
      </w:r>
      <w:r w:rsidR="00241D63">
        <w:rPr>
          <w:rFonts w:ascii="Times New Roman" w:hAnsi="Times New Roman" w:cs="Times New Roman"/>
          <w:sz w:val="22"/>
          <w:szCs w:val="22"/>
        </w:rPr>
        <w:t xml:space="preserve">in Basel (Hauptsitz bei der Bank für Internationalen Zahlungsausgleich) </w:t>
      </w:r>
      <w:r>
        <w:rPr>
          <w:rFonts w:ascii="Times New Roman" w:hAnsi="Times New Roman" w:cs="Times New Roman"/>
          <w:sz w:val="22"/>
          <w:szCs w:val="22"/>
        </w:rPr>
        <w:t>gegründet. Der wesentliche Anlass dafür waren</w:t>
      </w:r>
      <w:r w:rsidRPr="002B3DB4">
        <w:rPr>
          <w:rFonts w:ascii="Times New Roman" w:hAnsi="Times New Roman" w:cs="Times New Roman"/>
          <w:sz w:val="22"/>
          <w:szCs w:val="22"/>
        </w:rPr>
        <w:t xml:space="preserve"> </w:t>
      </w:r>
      <w:r w:rsidRPr="002C4BA9">
        <w:rPr>
          <w:rFonts w:ascii="Times New Roman" w:hAnsi="Times New Roman" w:cs="Times New Roman"/>
          <w:sz w:val="22"/>
          <w:szCs w:val="22"/>
        </w:rPr>
        <w:t>schwerwiegende Störungen auf den internationalen Devisen- und Bankenmärkten (vor allem nach dem Zusammenbruch des Bankhauses Herstatt aus Köln im Juni 1974). Somit war das vorrangige Ziel des Ausschusses</w:t>
      </w:r>
      <w:r w:rsidR="000750FC">
        <w:rPr>
          <w:rFonts w:ascii="Times New Roman" w:hAnsi="Times New Roman" w:cs="Times New Roman"/>
          <w:sz w:val="22"/>
          <w:szCs w:val="22"/>
        </w:rPr>
        <w:t>,</w:t>
      </w:r>
      <w:r w:rsidR="00241D63" w:rsidRPr="002C4BA9">
        <w:rPr>
          <w:rFonts w:ascii="Times New Roman" w:hAnsi="Times New Roman" w:cs="Times New Roman"/>
          <w:sz w:val="22"/>
          <w:szCs w:val="22"/>
        </w:rPr>
        <w:t xml:space="preserve"> die Finanzstabilität durch eine verbesserte Bankenaufsicht weltweit zu erhöhen und als Forum für die regelmäßige Zusammenarbeit zwischen ihren Mitgliedsländern in Fragen der Bankenaufsicht zu dienen. Seit seiner Gründung hat der Basler Ausschuss seine Mitgliedschaft von den G10</w:t>
      </w:r>
      <w:r w:rsidR="00776B62" w:rsidRPr="002C4BA9">
        <w:rPr>
          <w:rFonts w:ascii="Times New Roman" w:hAnsi="Times New Roman" w:cs="Times New Roman"/>
          <w:sz w:val="22"/>
          <w:szCs w:val="22"/>
        </w:rPr>
        <w:t>-Ländern</w:t>
      </w:r>
      <w:r w:rsidR="00241D63" w:rsidRPr="002C4BA9">
        <w:rPr>
          <w:rFonts w:ascii="Times New Roman" w:hAnsi="Times New Roman" w:cs="Times New Roman"/>
          <w:sz w:val="22"/>
          <w:szCs w:val="22"/>
        </w:rPr>
        <w:t xml:space="preserve"> a</w:t>
      </w:r>
      <w:r w:rsidR="00241D63" w:rsidRPr="00241D63">
        <w:rPr>
          <w:rFonts w:ascii="Times New Roman" w:hAnsi="Times New Roman" w:cs="Times New Roman"/>
          <w:sz w:val="22"/>
          <w:szCs w:val="22"/>
        </w:rPr>
        <w:t>uf 45 Institutionen aus 28 Ländern erweitert.</w:t>
      </w:r>
    </w:p>
    <w:p w14:paraId="6CF0057A" w14:textId="5BF9E782" w:rsidR="002B3DB4" w:rsidRPr="00B70221" w:rsidRDefault="00B70221" w:rsidP="006121BB">
      <w:pPr>
        <w:spacing w:after="120" w:line="312" w:lineRule="auto"/>
        <w:jc w:val="both"/>
        <w:rPr>
          <w:rFonts w:ascii="Times New Roman" w:hAnsi="Times New Roman" w:cs="Times New Roman"/>
          <w:b/>
          <w:bCs w:val="0"/>
          <w:sz w:val="22"/>
          <w:szCs w:val="22"/>
        </w:rPr>
      </w:pPr>
      <w:r w:rsidRPr="00B70221">
        <w:rPr>
          <w:rFonts w:ascii="Times New Roman" w:hAnsi="Times New Roman" w:cs="Times New Roman"/>
          <w:b/>
          <w:bCs w:val="0"/>
          <w:sz w:val="22"/>
          <w:szCs w:val="22"/>
        </w:rPr>
        <w:t>Regelwerke des Auss</w:t>
      </w:r>
      <w:r>
        <w:rPr>
          <w:rFonts w:ascii="Times New Roman" w:hAnsi="Times New Roman" w:cs="Times New Roman"/>
          <w:b/>
          <w:bCs w:val="0"/>
          <w:sz w:val="22"/>
          <w:szCs w:val="22"/>
        </w:rPr>
        <w:t>ch</w:t>
      </w:r>
      <w:r w:rsidRPr="00B70221">
        <w:rPr>
          <w:rFonts w:ascii="Times New Roman" w:hAnsi="Times New Roman" w:cs="Times New Roman"/>
          <w:b/>
          <w:bCs w:val="0"/>
          <w:sz w:val="22"/>
          <w:szCs w:val="22"/>
        </w:rPr>
        <w:t>usses</w:t>
      </w:r>
    </w:p>
    <w:p w14:paraId="6B9CFCEC" w14:textId="3587C123" w:rsidR="00B70221" w:rsidRDefault="002B3DB4" w:rsidP="006121BB">
      <w:pPr>
        <w:spacing w:after="60" w:line="276" w:lineRule="auto"/>
        <w:jc w:val="both"/>
        <w:rPr>
          <w:rFonts w:ascii="Times New Roman" w:hAnsi="Times New Roman" w:cs="Times New Roman"/>
          <w:sz w:val="22"/>
          <w:szCs w:val="22"/>
        </w:rPr>
      </w:pPr>
      <w:r w:rsidRPr="00DB1A2E">
        <w:rPr>
          <w:rFonts w:ascii="Times New Roman" w:hAnsi="Times New Roman" w:cs="Times New Roman"/>
          <w:sz w:val="22"/>
          <w:szCs w:val="22"/>
        </w:rPr>
        <w:t xml:space="preserve">Ein erster </w:t>
      </w:r>
      <w:r>
        <w:rPr>
          <w:rFonts w:ascii="Times New Roman" w:hAnsi="Times New Roman" w:cs="Times New Roman"/>
          <w:sz w:val="22"/>
          <w:szCs w:val="22"/>
        </w:rPr>
        <w:t xml:space="preserve">wichtiger </w:t>
      </w:r>
      <w:r w:rsidRPr="00DB1A2E">
        <w:rPr>
          <w:rFonts w:ascii="Times New Roman" w:hAnsi="Times New Roman" w:cs="Times New Roman"/>
          <w:sz w:val="22"/>
          <w:szCs w:val="22"/>
        </w:rPr>
        <w:t xml:space="preserve">Schritt in Richtung </w:t>
      </w:r>
      <w:r w:rsidR="00241D63">
        <w:rPr>
          <w:rFonts w:ascii="Times New Roman" w:hAnsi="Times New Roman" w:cs="Times New Roman"/>
          <w:sz w:val="22"/>
          <w:szCs w:val="22"/>
        </w:rPr>
        <w:t xml:space="preserve">einer weltweit robusten Bankenaufsicht </w:t>
      </w:r>
      <w:r w:rsidRPr="00DB1A2E">
        <w:rPr>
          <w:rFonts w:ascii="Times New Roman" w:hAnsi="Times New Roman" w:cs="Times New Roman"/>
          <w:sz w:val="22"/>
          <w:szCs w:val="22"/>
        </w:rPr>
        <w:t xml:space="preserve">war das 1975 veröffentlichte Papier, das als </w:t>
      </w:r>
      <w:r w:rsidRPr="00241D63">
        <w:rPr>
          <w:rFonts w:ascii="Times New Roman" w:hAnsi="Times New Roman" w:cs="Times New Roman"/>
          <w:b/>
          <w:sz w:val="22"/>
          <w:szCs w:val="22"/>
        </w:rPr>
        <w:t>Konkordat</w:t>
      </w:r>
      <w:r w:rsidRPr="00DB1A2E">
        <w:rPr>
          <w:rFonts w:ascii="Times New Roman" w:hAnsi="Times New Roman" w:cs="Times New Roman"/>
          <w:sz w:val="22"/>
          <w:szCs w:val="22"/>
        </w:rPr>
        <w:t xml:space="preserve"> bekannt wurde. Das Konkordat legte Grundsätze für die Aufteilung der Aufsichtsverantwortung für ausländische Zweigstellen, Tochtergesellschaften und Joint Ventures von Banken zwischen den Aufsichtsbehörden des Aufnahme</w:t>
      </w:r>
      <w:r>
        <w:rPr>
          <w:rFonts w:ascii="Times New Roman" w:hAnsi="Times New Roman" w:cs="Times New Roman"/>
          <w:sz w:val="22"/>
          <w:szCs w:val="22"/>
        </w:rPr>
        <w:t>- und Herkunfts</w:t>
      </w:r>
      <w:r w:rsidRPr="00DB1A2E">
        <w:rPr>
          <w:rFonts w:ascii="Times New Roman" w:hAnsi="Times New Roman" w:cs="Times New Roman"/>
          <w:sz w:val="22"/>
          <w:szCs w:val="22"/>
        </w:rPr>
        <w:t>landes fest.</w:t>
      </w:r>
      <w:r>
        <w:rPr>
          <w:rFonts w:ascii="Times New Roman" w:hAnsi="Times New Roman" w:cs="Times New Roman"/>
          <w:sz w:val="22"/>
          <w:szCs w:val="22"/>
        </w:rPr>
        <w:t xml:space="preserve"> </w:t>
      </w:r>
    </w:p>
    <w:p w14:paraId="11E9ED6C" w14:textId="6E45C64E" w:rsidR="00B70221" w:rsidRDefault="002B3DB4" w:rsidP="006121BB">
      <w:pPr>
        <w:spacing w:after="60" w:line="276" w:lineRule="auto"/>
        <w:jc w:val="both"/>
        <w:rPr>
          <w:rFonts w:ascii="Times New Roman" w:hAnsi="Times New Roman" w:cs="Times New Roman"/>
          <w:sz w:val="22"/>
          <w:szCs w:val="22"/>
        </w:rPr>
      </w:pPr>
      <w:r w:rsidRPr="00D11391">
        <w:rPr>
          <w:rFonts w:ascii="Times New Roman" w:hAnsi="Times New Roman" w:cs="Times New Roman"/>
          <w:sz w:val="22"/>
          <w:szCs w:val="22"/>
        </w:rPr>
        <w:t>Nachdem die Grundlagen für die Beaufsichtigung international tätiger Banken geschaffen waren, rückte die angemessene Eigenkapitalausstattung bald in den Mittelpunkt der Tätigkeit des Ausschusses.</w:t>
      </w:r>
      <w:r>
        <w:rPr>
          <w:rFonts w:ascii="Times New Roman" w:hAnsi="Times New Roman" w:cs="Times New Roman"/>
          <w:sz w:val="22"/>
          <w:szCs w:val="22"/>
        </w:rPr>
        <w:t xml:space="preserve"> Dieser</w:t>
      </w:r>
      <w:r w:rsidRPr="001D48DB">
        <w:rPr>
          <w:rFonts w:ascii="Times New Roman" w:hAnsi="Times New Roman" w:cs="Times New Roman"/>
          <w:sz w:val="22"/>
          <w:szCs w:val="22"/>
        </w:rPr>
        <w:t xml:space="preserve"> erkannte nachdrücklich die vorrangige Notwendigkeit</w:t>
      </w:r>
      <w:r>
        <w:rPr>
          <w:rFonts w:ascii="Times New Roman" w:hAnsi="Times New Roman" w:cs="Times New Roman"/>
          <w:sz w:val="22"/>
          <w:szCs w:val="22"/>
        </w:rPr>
        <w:t>, die</w:t>
      </w:r>
      <w:r w:rsidRPr="001D48DB">
        <w:rPr>
          <w:rFonts w:ascii="Times New Roman" w:hAnsi="Times New Roman" w:cs="Times New Roman"/>
          <w:sz w:val="22"/>
          <w:szCs w:val="22"/>
        </w:rPr>
        <w:t xml:space="preserve"> Wettbewerbsungleichheit zu beseitigen, die sich aus den Unterschieden in den nationalen Eigenkapitalanforderungen ergibt. Infolgedessen wurde ein System zur Messung des Eigenkapitals, das gemeinhin als Basler Eigenkapitalvereinbarung</w:t>
      </w:r>
      <w:r>
        <w:rPr>
          <w:rFonts w:ascii="Times New Roman" w:hAnsi="Times New Roman" w:cs="Times New Roman"/>
          <w:sz w:val="22"/>
          <w:szCs w:val="22"/>
        </w:rPr>
        <w:t xml:space="preserve"> </w:t>
      </w:r>
      <w:r w:rsidRPr="001D48DB">
        <w:rPr>
          <w:rFonts w:ascii="Times New Roman" w:hAnsi="Times New Roman" w:cs="Times New Roman"/>
          <w:sz w:val="22"/>
          <w:szCs w:val="22"/>
        </w:rPr>
        <w:t>bezeichnet wird</w:t>
      </w:r>
      <w:r>
        <w:rPr>
          <w:rFonts w:ascii="Times New Roman" w:hAnsi="Times New Roman" w:cs="Times New Roman"/>
          <w:sz w:val="22"/>
          <w:szCs w:val="22"/>
        </w:rPr>
        <w:t xml:space="preserve"> (auch unter dem Namen </w:t>
      </w:r>
      <w:r w:rsidRPr="00B70221">
        <w:rPr>
          <w:rFonts w:ascii="Times New Roman" w:hAnsi="Times New Roman" w:cs="Times New Roman"/>
          <w:b/>
          <w:bCs w:val="0"/>
          <w:sz w:val="22"/>
          <w:szCs w:val="22"/>
        </w:rPr>
        <w:t>Basel I</w:t>
      </w:r>
      <w:r>
        <w:rPr>
          <w:rFonts w:ascii="Times New Roman" w:hAnsi="Times New Roman" w:cs="Times New Roman"/>
          <w:sz w:val="22"/>
          <w:szCs w:val="22"/>
        </w:rPr>
        <w:t xml:space="preserve"> bekannt)</w:t>
      </w:r>
      <w:r w:rsidRPr="001D48DB">
        <w:rPr>
          <w:rFonts w:ascii="Times New Roman" w:hAnsi="Times New Roman" w:cs="Times New Roman"/>
          <w:sz w:val="22"/>
          <w:szCs w:val="22"/>
        </w:rPr>
        <w:t>, genehmigt und den Banken im Juli 1988 zur Verfügung gestellt.</w:t>
      </w:r>
      <w:r>
        <w:rPr>
          <w:rFonts w:ascii="Times New Roman" w:hAnsi="Times New Roman" w:cs="Times New Roman"/>
          <w:sz w:val="22"/>
          <w:szCs w:val="22"/>
        </w:rPr>
        <w:t xml:space="preserve"> </w:t>
      </w:r>
      <w:r w:rsidRPr="00D65CAF">
        <w:rPr>
          <w:rFonts w:ascii="Times New Roman" w:hAnsi="Times New Roman" w:cs="Times New Roman"/>
          <w:sz w:val="22"/>
          <w:szCs w:val="22"/>
        </w:rPr>
        <w:t xml:space="preserve">Basel I forderte ein Mindestverhältnis von Eigenkapital zu risikogewichteten </w:t>
      </w:r>
      <w:r>
        <w:rPr>
          <w:rFonts w:ascii="Times New Roman" w:hAnsi="Times New Roman" w:cs="Times New Roman"/>
          <w:sz w:val="22"/>
          <w:szCs w:val="22"/>
        </w:rPr>
        <w:t>Bilanza</w:t>
      </w:r>
      <w:r w:rsidRPr="00D65CAF">
        <w:rPr>
          <w:rFonts w:ascii="Times New Roman" w:hAnsi="Times New Roman" w:cs="Times New Roman"/>
          <w:sz w:val="22"/>
          <w:szCs w:val="22"/>
        </w:rPr>
        <w:t>ktiva von 8</w:t>
      </w:r>
      <w:r w:rsidR="00934309">
        <w:rPr>
          <w:rFonts w:ascii="Times New Roman" w:hAnsi="Times New Roman" w:cs="Times New Roman"/>
          <w:sz w:val="22"/>
          <w:szCs w:val="22"/>
        </w:rPr>
        <w:t xml:space="preserve"> Prozent</w:t>
      </w:r>
      <w:r w:rsidRPr="00D65CAF">
        <w:rPr>
          <w:rFonts w:ascii="Times New Roman" w:hAnsi="Times New Roman" w:cs="Times New Roman"/>
          <w:sz w:val="22"/>
          <w:szCs w:val="22"/>
        </w:rPr>
        <w:t>, das bis Ende 1992 umgesetzt werden sollte.</w:t>
      </w:r>
      <w:r>
        <w:rPr>
          <w:rFonts w:ascii="Times New Roman" w:hAnsi="Times New Roman" w:cs="Times New Roman"/>
          <w:sz w:val="22"/>
          <w:szCs w:val="22"/>
        </w:rPr>
        <w:t xml:space="preserve"> </w:t>
      </w:r>
    </w:p>
    <w:p w14:paraId="7B783233" w14:textId="6FFC6C74" w:rsidR="002B3DB4" w:rsidRDefault="002B3DB4" w:rsidP="006121BB">
      <w:pPr>
        <w:spacing w:after="120" w:line="276" w:lineRule="auto"/>
        <w:jc w:val="both"/>
        <w:rPr>
          <w:rFonts w:ascii="Times New Roman" w:hAnsi="Times New Roman" w:cs="Times New Roman"/>
          <w:sz w:val="22"/>
          <w:szCs w:val="22"/>
        </w:rPr>
      </w:pPr>
      <w:r w:rsidRPr="00AB63F2">
        <w:rPr>
          <w:rFonts w:ascii="Times New Roman" w:hAnsi="Times New Roman" w:cs="Times New Roman"/>
          <w:sz w:val="22"/>
          <w:szCs w:val="22"/>
        </w:rPr>
        <w:t>Im Juni 1999 legte der Ausschuss einen Vorschlag für einen neuen Eigenkapitalrahmen vor, der die Vereinbarung von 1988 ersetzen sollte. Dies führte</w:t>
      </w:r>
      <w:r w:rsidR="004E5015">
        <w:rPr>
          <w:rFonts w:ascii="Times New Roman" w:hAnsi="Times New Roman" w:cs="Times New Roman"/>
          <w:sz w:val="22"/>
          <w:szCs w:val="22"/>
        </w:rPr>
        <w:t xml:space="preserve"> nach sechs Jahren intensiver Vorbereitungen</w:t>
      </w:r>
      <w:r w:rsidRPr="00AB63F2">
        <w:rPr>
          <w:rFonts w:ascii="Times New Roman" w:hAnsi="Times New Roman" w:cs="Times New Roman"/>
          <w:sz w:val="22"/>
          <w:szCs w:val="22"/>
        </w:rPr>
        <w:t xml:space="preserve"> im Juni 2004 zur Veröffentlichung einer überarbeiteten Eigenkapitalvereinbarung, die allgemein als </w:t>
      </w:r>
      <w:r w:rsidRPr="00B70221">
        <w:rPr>
          <w:rFonts w:ascii="Times New Roman" w:hAnsi="Times New Roman" w:cs="Times New Roman"/>
          <w:b/>
          <w:bCs w:val="0"/>
          <w:sz w:val="22"/>
          <w:szCs w:val="22"/>
        </w:rPr>
        <w:t>Basel II</w:t>
      </w:r>
      <w:r w:rsidRPr="00AB63F2">
        <w:rPr>
          <w:rFonts w:ascii="Times New Roman" w:hAnsi="Times New Roman" w:cs="Times New Roman"/>
          <w:sz w:val="22"/>
          <w:szCs w:val="22"/>
        </w:rPr>
        <w:t xml:space="preserve"> bekannt ist.</w:t>
      </w:r>
      <w:r>
        <w:rPr>
          <w:rFonts w:ascii="Times New Roman" w:hAnsi="Times New Roman" w:cs="Times New Roman"/>
          <w:sz w:val="22"/>
          <w:szCs w:val="22"/>
        </w:rPr>
        <w:t xml:space="preserve"> </w:t>
      </w:r>
      <w:r w:rsidRPr="00E35EE2">
        <w:rPr>
          <w:rFonts w:ascii="Times New Roman" w:hAnsi="Times New Roman" w:cs="Times New Roman"/>
          <w:sz w:val="22"/>
          <w:szCs w:val="22"/>
        </w:rPr>
        <w:t>Der überarbeitete Rahmen stützt sich auf drei Säulen:</w:t>
      </w:r>
    </w:p>
    <w:p w14:paraId="7DA5D520" w14:textId="77777777" w:rsidR="002B3DB4" w:rsidRPr="00CE41EA" w:rsidRDefault="002B3DB4" w:rsidP="006121BB">
      <w:pPr>
        <w:pStyle w:val="Listenabsatz"/>
        <w:numPr>
          <w:ilvl w:val="0"/>
          <w:numId w:val="1"/>
        </w:numPr>
        <w:spacing w:line="276" w:lineRule="auto"/>
        <w:ind w:left="426" w:hanging="426"/>
        <w:jc w:val="both"/>
        <w:rPr>
          <w:rFonts w:ascii="Times New Roman" w:hAnsi="Times New Roman" w:cs="Times New Roman"/>
          <w:sz w:val="22"/>
          <w:szCs w:val="22"/>
        </w:rPr>
      </w:pPr>
      <w:r w:rsidRPr="00CE41EA">
        <w:rPr>
          <w:rFonts w:ascii="Times New Roman" w:hAnsi="Times New Roman" w:cs="Times New Roman"/>
          <w:sz w:val="22"/>
          <w:szCs w:val="22"/>
        </w:rPr>
        <w:t>Mindesteigenkapitalanforderungen, die darauf abzielten, die in der Vereinbarung von 1988 festgelegten standardisierten Regeln weiterzuentwickeln und zu erweitern;</w:t>
      </w:r>
    </w:p>
    <w:p w14:paraId="696A52A9" w14:textId="74B80CB0" w:rsidR="00CE41EA" w:rsidRPr="00CE41EA" w:rsidRDefault="00CE41EA" w:rsidP="006121BB">
      <w:pPr>
        <w:pStyle w:val="Listenabsatz"/>
        <w:numPr>
          <w:ilvl w:val="0"/>
          <w:numId w:val="1"/>
        </w:numPr>
        <w:spacing w:line="276" w:lineRule="auto"/>
        <w:ind w:left="426" w:hanging="426"/>
        <w:jc w:val="both"/>
        <w:rPr>
          <w:rFonts w:ascii="Times New Roman" w:hAnsi="Times New Roman" w:cs="Times New Roman"/>
        </w:rPr>
      </w:pPr>
      <w:r>
        <w:rPr>
          <w:rFonts w:ascii="Times New Roman" w:hAnsi="Times New Roman" w:cs="Times New Roman"/>
          <w:sz w:val="22"/>
          <w:szCs w:val="22"/>
        </w:rPr>
        <w:t>A</w:t>
      </w:r>
      <w:r w:rsidR="002B3DB4" w:rsidRPr="00CE41EA">
        <w:rPr>
          <w:rFonts w:ascii="Times New Roman" w:hAnsi="Times New Roman" w:cs="Times New Roman"/>
          <w:sz w:val="22"/>
          <w:szCs w:val="22"/>
        </w:rPr>
        <w:t xml:space="preserve">ufsichtliche Überprüfung der </w:t>
      </w:r>
      <w:proofErr w:type="spellStart"/>
      <w:r w:rsidR="002B3DB4" w:rsidRPr="00CE41EA">
        <w:rPr>
          <w:rFonts w:ascii="Times New Roman" w:hAnsi="Times New Roman" w:cs="Times New Roman"/>
          <w:sz w:val="22"/>
          <w:szCs w:val="22"/>
        </w:rPr>
        <w:t>Kapitaladäquanz</w:t>
      </w:r>
      <w:proofErr w:type="spellEnd"/>
      <w:r w:rsidR="002B3DB4" w:rsidRPr="00CE41EA">
        <w:rPr>
          <w:rFonts w:ascii="Times New Roman" w:hAnsi="Times New Roman" w:cs="Times New Roman"/>
          <w:sz w:val="22"/>
          <w:szCs w:val="22"/>
        </w:rPr>
        <w:t xml:space="preserve"> und des internen Bewertungsverfahrens eines Bankinstituts;</w:t>
      </w:r>
    </w:p>
    <w:p w14:paraId="57322B32" w14:textId="41D9817F" w:rsidR="008D66A2" w:rsidRPr="00E57752" w:rsidRDefault="00CE41EA" w:rsidP="006121BB">
      <w:pPr>
        <w:pStyle w:val="Listenabsatz"/>
        <w:numPr>
          <w:ilvl w:val="0"/>
          <w:numId w:val="1"/>
        </w:numPr>
        <w:spacing w:after="120" w:line="276" w:lineRule="auto"/>
        <w:ind w:left="425" w:hanging="425"/>
        <w:contextualSpacing w:val="0"/>
        <w:jc w:val="both"/>
        <w:rPr>
          <w:rFonts w:ascii="Times New Roman" w:hAnsi="Times New Roman" w:cs="Times New Roman"/>
        </w:rPr>
      </w:pPr>
      <w:r>
        <w:rPr>
          <w:rFonts w:ascii="Times New Roman" w:hAnsi="Times New Roman" w:cs="Times New Roman"/>
          <w:sz w:val="22"/>
          <w:szCs w:val="22"/>
        </w:rPr>
        <w:t>W</w:t>
      </w:r>
      <w:r w:rsidR="002B3DB4" w:rsidRPr="00CE41EA">
        <w:rPr>
          <w:rFonts w:ascii="Times New Roman" w:hAnsi="Times New Roman" w:cs="Times New Roman"/>
          <w:sz w:val="22"/>
          <w:szCs w:val="22"/>
        </w:rPr>
        <w:t>irksamer Einsatz der Offenlegung zur Stärkung der Marktdisziplin und zur Förderung solider Bankpraktiken</w:t>
      </w:r>
      <w:r w:rsidR="00B70221" w:rsidRPr="00CE41EA">
        <w:rPr>
          <w:rFonts w:ascii="Times New Roman" w:hAnsi="Times New Roman" w:cs="Times New Roman"/>
          <w:sz w:val="22"/>
          <w:szCs w:val="22"/>
        </w:rPr>
        <w:t>.</w:t>
      </w:r>
    </w:p>
    <w:p w14:paraId="14DA1CA2" w14:textId="7BE810D8" w:rsidR="00CE41EA" w:rsidRDefault="004E5015" w:rsidP="006121BB">
      <w:pPr>
        <w:pStyle w:val="Listenabsatz"/>
        <w:spacing w:after="60" w:line="276" w:lineRule="auto"/>
        <w:ind w:left="0"/>
        <w:contextualSpacing w:val="0"/>
        <w:jc w:val="both"/>
        <w:rPr>
          <w:rFonts w:ascii="Times New Roman" w:hAnsi="Times New Roman" w:cs="Times New Roman"/>
          <w:sz w:val="22"/>
          <w:szCs w:val="22"/>
        </w:rPr>
      </w:pPr>
      <w:r w:rsidRPr="00CE41EA">
        <w:rPr>
          <w:rFonts w:ascii="Times New Roman" w:hAnsi="Times New Roman" w:cs="Times New Roman"/>
          <w:sz w:val="22"/>
          <w:szCs w:val="22"/>
        </w:rPr>
        <w:t>Das neue Regelwerk</w:t>
      </w:r>
      <w:r w:rsidR="00CE41EA" w:rsidRPr="00CE41EA">
        <w:rPr>
          <w:rFonts w:ascii="Times New Roman" w:hAnsi="Times New Roman" w:cs="Times New Roman"/>
          <w:sz w:val="22"/>
          <w:szCs w:val="22"/>
        </w:rPr>
        <w:t xml:space="preserve"> sollte </w:t>
      </w:r>
      <w:r w:rsidR="00CE41EA">
        <w:rPr>
          <w:rFonts w:ascii="Times New Roman" w:hAnsi="Times New Roman" w:cs="Times New Roman"/>
          <w:sz w:val="22"/>
          <w:szCs w:val="22"/>
        </w:rPr>
        <w:t>zum einen die Offenlegung der Risiken im Rahmen der</w:t>
      </w:r>
      <w:r w:rsidR="00CE41EA" w:rsidRPr="00CE41EA">
        <w:rPr>
          <w:rFonts w:ascii="Times New Roman" w:hAnsi="Times New Roman" w:cs="Times New Roman"/>
          <w:sz w:val="22"/>
          <w:szCs w:val="22"/>
        </w:rPr>
        <w:t xml:space="preserve"> aufsichtsrechtlichen Eigenkapitalanforderungen </w:t>
      </w:r>
      <w:r>
        <w:rPr>
          <w:rFonts w:ascii="Times New Roman" w:hAnsi="Times New Roman" w:cs="Times New Roman"/>
          <w:sz w:val="22"/>
          <w:szCs w:val="22"/>
        </w:rPr>
        <w:t xml:space="preserve">durch eine verbesserte Risikomessung und -kontrolle </w:t>
      </w:r>
      <w:r w:rsidR="00CE41EA">
        <w:rPr>
          <w:rFonts w:ascii="Times New Roman" w:hAnsi="Times New Roman" w:cs="Times New Roman"/>
          <w:sz w:val="22"/>
          <w:szCs w:val="22"/>
        </w:rPr>
        <w:t>ver</w:t>
      </w:r>
      <w:r>
        <w:rPr>
          <w:rFonts w:ascii="Times New Roman" w:hAnsi="Times New Roman" w:cs="Times New Roman"/>
          <w:sz w:val="22"/>
          <w:szCs w:val="22"/>
        </w:rPr>
        <w:t>vollständigen</w:t>
      </w:r>
      <w:r w:rsidR="00CE41EA" w:rsidRPr="00CE41EA">
        <w:rPr>
          <w:rFonts w:ascii="Times New Roman" w:hAnsi="Times New Roman" w:cs="Times New Roman"/>
          <w:sz w:val="22"/>
          <w:szCs w:val="22"/>
        </w:rPr>
        <w:t xml:space="preserve"> und</w:t>
      </w:r>
      <w:r>
        <w:rPr>
          <w:rFonts w:ascii="Times New Roman" w:hAnsi="Times New Roman" w:cs="Times New Roman"/>
          <w:sz w:val="22"/>
          <w:szCs w:val="22"/>
        </w:rPr>
        <w:t xml:space="preserve"> zum anderen</w:t>
      </w:r>
      <w:r w:rsidR="00CE41EA" w:rsidRPr="00CE41EA">
        <w:rPr>
          <w:rFonts w:ascii="Times New Roman" w:hAnsi="Times New Roman" w:cs="Times New Roman"/>
          <w:sz w:val="22"/>
          <w:szCs w:val="22"/>
        </w:rPr>
        <w:t xml:space="preserve"> die Finanzinnovationen der </w:t>
      </w:r>
      <w:r>
        <w:rPr>
          <w:rFonts w:ascii="Times New Roman" w:hAnsi="Times New Roman" w:cs="Times New Roman"/>
          <w:sz w:val="22"/>
          <w:szCs w:val="22"/>
        </w:rPr>
        <w:t>vergangenen</w:t>
      </w:r>
      <w:r w:rsidR="00CE41EA" w:rsidRPr="00CE41EA">
        <w:rPr>
          <w:rFonts w:ascii="Times New Roman" w:hAnsi="Times New Roman" w:cs="Times New Roman"/>
          <w:sz w:val="22"/>
          <w:szCs w:val="22"/>
        </w:rPr>
        <w:t xml:space="preserve"> Jahre besser </w:t>
      </w:r>
      <w:r>
        <w:rPr>
          <w:rFonts w:ascii="Times New Roman" w:hAnsi="Times New Roman" w:cs="Times New Roman"/>
          <w:sz w:val="22"/>
          <w:szCs w:val="22"/>
        </w:rPr>
        <w:t>in Blick nehmen</w:t>
      </w:r>
      <w:r w:rsidR="00CE41EA" w:rsidRPr="00CE41EA">
        <w:rPr>
          <w:rFonts w:ascii="Times New Roman" w:hAnsi="Times New Roman" w:cs="Times New Roman"/>
          <w:sz w:val="22"/>
          <w:szCs w:val="22"/>
        </w:rPr>
        <w:t xml:space="preserve">. </w:t>
      </w:r>
      <w:r>
        <w:rPr>
          <w:rFonts w:ascii="Times New Roman" w:hAnsi="Times New Roman" w:cs="Times New Roman"/>
          <w:sz w:val="22"/>
          <w:szCs w:val="22"/>
        </w:rPr>
        <w:t>Bei der Erarbeitung de</w:t>
      </w:r>
      <w:r w:rsidR="00B06B02">
        <w:rPr>
          <w:rFonts w:ascii="Times New Roman" w:hAnsi="Times New Roman" w:cs="Times New Roman"/>
          <w:sz w:val="22"/>
          <w:szCs w:val="22"/>
        </w:rPr>
        <w:t>r neuen Regel hat sich d</w:t>
      </w:r>
      <w:r w:rsidR="00B06B02" w:rsidRPr="00B06B02">
        <w:rPr>
          <w:rFonts w:ascii="Times New Roman" w:hAnsi="Times New Roman" w:cs="Times New Roman"/>
          <w:sz w:val="22"/>
          <w:szCs w:val="22"/>
        </w:rPr>
        <w:t xml:space="preserve">er </w:t>
      </w:r>
      <w:r w:rsidR="00B06B02">
        <w:rPr>
          <w:rFonts w:ascii="Times New Roman" w:hAnsi="Times New Roman" w:cs="Times New Roman"/>
          <w:sz w:val="22"/>
          <w:szCs w:val="22"/>
        </w:rPr>
        <w:t>A</w:t>
      </w:r>
      <w:r w:rsidR="00B06B02" w:rsidRPr="00B06B02">
        <w:rPr>
          <w:rFonts w:ascii="Times New Roman" w:hAnsi="Times New Roman" w:cs="Times New Roman"/>
          <w:sz w:val="22"/>
          <w:szCs w:val="22"/>
        </w:rPr>
        <w:t>usschuss ausführlich mit Vertretern des Bankensektors, Aufsichtsbehörden, Zentralbanken und externen Beobachtern beraten, um risikogerechtere</w:t>
      </w:r>
      <w:r w:rsidR="00B06B02">
        <w:rPr>
          <w:rFonts w:ascii="Times New Roman" w:hAnsi="Times New Roman" w:cs="Times New Roman"/>
          <w:sz w:val="22"/>
          <w:szCs w:val="22"/>
        </w:rPr>
        <w:t xml:space="preserve"> und praxisorientierte</w:t>
      </w:r>
      <w:r w:rsidR="00B06B02" w:rsidRPr="00B06B02">
        <w:rPr>
          <w:rFonts w:ascii="Times New Roman" w:hAnsi="Times New Roman" w:cs="Times New Roman"/>
          <w:sz w:val="22"/>
          <w:szCs w:val="22"/>
        </w:rPr>
        <w:t xml:space="preserve"> Eigenkapitalanforderungen zu entwickeln.</w:t>
      </w:r>
    </w:p>
    <w:p w14:paraId="27082577" w14:textId="4BE44844" w:rsidR="00763508" w:rsidRDefault="00BB4FE3" w:rsidP="006121BB">
      <w:pPr>
        <w:pStyle w:val="Listenabsatz"/>
        <w:spacing w:after="120" w:line="276" w:lineRule="auto"/>
        <w:ind w:left="0"/>
        <w:contextualSpacing w:val="0"/>
        <w:jc w:val="both"/>
        <w:rPr>
          <w:rFonts w:ascii="Times New Roman" w:hAnsi="Times New Roman" w:cs="Times New Roman"/>
          <w:sz w:val="22"/>
          <w:szCs w:val="22"/>
        </w:rPr>
      </w:pPr>
      <w:r>
        <w:rPr>
          <w:rFonts w:ascii="Times New Roman" w:hAnsi="Times New Roman" w:cs="Times New Roman"/>
          <w:sz w:val="22"/>
          <w:szCs w:val="22"/>
        </w:rPr>
        <w:t xml:space="preserve">Trotz aller regulatorischen Bemühungen erwies sich der Bankensektor mit den Ereignissen der Großen Finanzkrise 2007/2008 als nicht ausreichend krisenfest. Schon vor der Lehman-Pleite im September 2008 </w:t>
      </w:r>
      <w:r w:rsidR="005A3EE8">
        <w:rPr>
          <w:rFonts w:ascii="Times New Roman" w:hAnsi="Times New Roman" w:cs="Times New Roman"/>
          <w:sz w:val="22"/>
          <w:szCs w:val="22"/>
        </w:rPr>
        <w:t>fiel</w:t>
      </w:r>
      <w:r w:rsidRPr="00BB4FE3">
        <w:rPr>
          <w:rFonts w:ascii="Times New Roman" w:hAnsi="Times New Roman" w:cs="Times New Roman"/>
          <w:sz w:val="22"/>
          <w:szCs w:val="22"/>
        </w:rPr>
        <w:t xml:space="preserve"> </w:t>
      </w:r>
      <w:r w:rsidR="005A3EE8">
        <w:rPr>
          <w:rFonts w:ascii="Times New Roman" w:hAnsi="Times New Roman" w:cs="Times New Roman"/>
          <w:sz w:val="22"/>
          <w:szCs w:val="22"/>
        </w:rPr>
        <w:t>die</w:t>
      </w:r>
      <w:r w:rsidRPr="00BB4FE3">
        <w:rPr>
          <w:rFonts w:ascii="Times New Roman" w:hAnsi="Times New Roman" w:cs="Times New Roman"/>
          <w:sz w:val="22"/>
          <w:szCs w:val="22"/>
        </w:rPr>
        <w:t xml:space="preserve"> hohe Verschuldung </w:t>
      </w:r>
      <w:r w:rsidRPr="002C4BA9">
        <w:rPr>
          <w:rFonts w:ascii="Times New Roman" w:hAnsi="Times New Roman" w:cs="Times New Roman"/>
          <w:sz w:val="22"/>
          <w:szCs w:val="22"/>
        </w:rPr>
        <w:t xml:space="preserve">und </w:t>
      </w:r>
      <w:r w:rsidR="00E57752" w:rsidRPr="002C4BA9">
        <w:rPr>
          <w:rFonts w:ascii="Times New Roman" w:hAnsi="Times New Roman" w:cs="Times New Roman"/>
          <w:sz w:val="22"/>
          <w:szCs w:val="22"/>
        </w:rPr>
        <w:t xml:space="preserve">der </w:t>
      </w:r>
      <w:r w:rsidRPr="002C4BA9">
        <w:rPr>
          <w:rFonts w:ascii="Times New Roman" w:hAnsi="Times New Roman" w:cs="Times New Roman"/>
          <w:sz w:val="22"/>
          <w:szCs w:val="22"/>
        </w:rPr>
        <w:t>unzureichende Liquiditätspuffer</w:t>
      </w:r>
      <w:r w:rsidR="005A3EE8" w:rsidRPr="002C4BA9">
        <w:rPr>
          <w:rFonts w:ascii="Times New Roman" w:hAnsi="Times New Roman" w:cs="Times New Roman"/>
          <w:sz w:val="22"/>
          <w:szCs w:val="22"/>
        </w:rPr>
        <w:t xml:space="preserve"> auf. Diese Mängel konnten </w:t>
      </w:r>
      <w:r w:rsidR="005A3EE8" w:rsidRPr="002C4BA9">
        <w:rPr>
          <w:rFonts w:ascii="Times New Roman" w:hAnsi="Times New Roman" w:cs="Times New Roman"/>
          <w:sz w:val="22"/>
          <w:szCs w:val="22"/>
        </w:rPr>
        <w:lastRenderedPageBreak/>
        <w:t>jedoch nicht rechtzeitig vor der</w:t>
      </w:r>
      <w:r w:rsidRPr="002C4BA9">
        <w:rPr>
          <w:rFonts w:ascii="Times New Roman" w:hAnsi="Times New Roman" w:cs="Times New Roman"/>
          <w:sz w:val="22"/>
          <w:szCs w:val="22"/>
        </w:rPr>
        <w:t xml:space="preserve"> Finanzkrise</w:t>
      </w:r>
      <w:r w:rsidR="005A3EE8" w:rsidRPr="002C4BA9">
        <w:rPr>
          <w:rFonts w:ascii="Times New Roman" w:hAnsi="Times New Roman" w:cs="Times New Roman"/>
          <w:sz w:val="22"/>
          <w:szCs w:val="22"/>
        </w:rPr>
        <w:t xml:space="preserve"> behoben werden</w:t>
      </w:r>
      <w:r w:rsidRPr="002C4BA9">
        <w:rPr>
          <w:rFonts w:ascii="Times New Roman" w:hAnsi="Times New Roman" w:cs="Times New Roman"/>
          <w:sz w:val="22"/>
          <w:szCs w:val="22"/>
        </w:rPr>
        <w:t xml:space="preserve">. </w:t>
      </w:r>
      <w:r w:rsidR="005A3EE8" w:rsidRPr="002C4BA9">
        <w:rPr>
          <w:rFonts w:ascii="Times New Roman" w:hAnsi="Times New Roman" w:cs="Times New Roman"/>
          <w:sz w:val="22"/>
          <w:szCs w:val="22"/>
        </w:rPr>
        <w:t>Gepaart</w:t>
      </w:r>
      <w:r w:rsidRPr="002C4BA9">
        <w:rPr>
          <w:rFonts w:ascii="Times New Roman" w:hAnsi="Times New Roman" w:cs="Times New Roman"/>
          <w:sz w:val="22"/>
          <w:szCs w:val="22"/>
        </w:rPr>
        <w:t xml:space="preserve"> mit einer schlechten Unternehmensführung</w:t>
      </w:r>
      <w:r w:rsidR="005A3EE8" w:rsidRPr="002C4BA9">
        <w:rPr>
          <w:rFonts w:ascii="Times New Roman" w:hAnsi="Times New Roman" w:cs="Times New Roman"/>
          <w:sz w:val="22"/>
          <w:szCs w:val="22"/>
        </w:rPr>
        <w:t>,</w:t>
      </w:r>
      <w:r w:rsidRPr="002C4BA9">
        <w:rPr>
          <w:rFonts w:ascii="Times New Roman" w:hAnsi="Times New Roman" w:cs="Times New Roman"/>
          <w:sz w:val="22"/>
          <w:szCs w:val="22"/>
        </w:rPr>
        <w:t xml:space="preserve"> einem unzureichenden Risikomanagement sowie unangemessenen Anreizstrukturen</w:t>
      </w:r>
      <w:r w:rsidR="005A3EE8" w:rsidRPr="002C4BA9">
        <w:rPr>
          <w:rFonts w:ascii="Times New Roman" w:hAnsi="Times New Roman" w:cs="Times New Roman"/>
          <w:sz w:val="22"/>
          <w:szCs w:val="22"/>
        </w:rPr>
        <w:t xml:space="preserve"> stürzte der Bankensektor tief in die Krise</w:t>
      </w:r>
      <w:r w:rsidRPr="002C4BA9">
        <w:rPr>
          <w:rFonts w:ascii="Times New Roman" w:hAnsi="Times New Roman" w:cs="Times New Roman"/>
          <w:sz w:val="22"/>
          <w:szCs w:val="22"/>
        </w:rPr>
        <w:t>. Die gefährliche Kombination dieser Faktoren zeigte sich in der falschen Bewertung von Kredit- und Liquiditätsrisiken und einem übermäßigen Kreditwachstum</w:t>
      </w:r>
      <w:r w:rsidR="005A3EE8" w:rsidRPr="002C4BA9">
        <w:rPr>
          <w:rFonts w:ascii="Times New Roman" w:hAnsi="Times New Roman" w:cs="Times New Roman"/>
          <w:sz w:val="22"/>
          <w:szCs w:val="22"/>
        </w:rPr>
        <w:t xml:space="preserve"> der vergangenen Jahre</w:t>
      </w:r>
      <w:r w:rsidRPr="002C4BA9">
        <w:rPr>
          <w:rFonts w:ascii="Times New Roman" w:hAnsi="Times New Roman" w:cs="Times New Roman"/>
          <w:sz w:val="22"/>
          <w:szCs w:val="22"/>
        </w:rPr>
        <w:t>.</w:t>
      </w:r>
      <w:r w:rsidR="005949AD" w:rsidRPr="002C4BA9">
        <w:rPr>
          <w:rFonts w:ascii="Times New Roman" w:hAnsi="Times New Roman" w:cs="Times New Roman"/>
          <w:sz w:val="22"/>
          <w:szCs w:val="22"/>
        </w:rPr>
        <w:t xml:space="preserve"> Als Antwort auf die Krisenereignisse, veröffentlichte der Ausschuss im Laufe </w:t>
      </w:r>
      <w:r w:rsidR="00E57752" w:rsidRPr="002C4BA9">
        <w:rPr>
          <w:rFonts w:ascii="Times New Roman" w:hAnsi="Times New Roman" w:cs="Times New Roman"/>
          <w:sz w:val="22"/>
          <w:szCs w:val="22"/>
        </w:rPr>
        <w:t>der Jahre</w:t>
      </w:r>
      <w:r w:rsidR="005949AD">
        <w:rPr>
          <w:rFonts w:ascii="Times New Roman" w:hAnsi="Times New Roman" w:cs="Times New Roman"/>
          <w:sz w:val="22"/>
          <w:szCs w:val="22"/>
        </w:rPr>
        <w:t xml:space="preserve"> 2008 und 2009 </w:t>
      </w:r>
      <w:r w:rsidR="005949AD" w:rsidRPr="005949AD">
        <w:rPr>
          <w:rFonts w:ascii="Times New Roman" w:hAnsi="Times New Roman" w:cs="Times New Roman"/>
          <w:sz w:val="22"/>
          <w:szCs w:val="22"/>
        </w:rPr>
        <w:t>Dokumente zur Stärkung der Eigenkapitalvorschriften von Basel II, insbesondere im Hinblick auf die Behandlung bestimmter komplexer Verbriefungspositionen, außerbilanzieller Vehikel und Handelsbuchpositionen.</w:t>
      </w:r>
      <w:r w:rsidR="005949AD">
        <w:rPr>
          <w:rFonts w:ascii="Times New Roman" w:hAnsi="Times New Roman" w:cs="Times New Roman"/>
          <w:sz w:val="22"/>
          <w:szCs w:val="22"/>
        </w:rPr>
        <w:t xml:space="preserve"> Schließlich wurde 2010 eine Einigung erreicht in Bezug auf </w:t>
      </w:r>
      <w:r w:rsidR="005949AD" w:rsidRPr="005949AD">
        <w:rPr>
          <w:rFonts w:ascii="Times New Roman" w:hAnsi="Times New Roman" w:cs="Times New Roman"/>
          <w:sz w:val="22"/>
          <w:szCs w:val="22"/>
        </w:rPr>
        <w:t xml:space="preserve">die Gesamtkonzeption des Kapital- und Liquiditätsreformpakets, </w:t>
      </w:r>
      <w:r w:rsidR="005949AD">
        <w:rPr>
          <w:rFonts w:ascii="Times New Roman" w:hAnsi="Times New Roman" w:cs="Times New Roman"/>
          <w:sz w:val="22"/>
          <w:szCs w:val="22"/>
        </w:rPr>
        <w:t>welches</w:t>
      </w:r>
      <w:r w:rsidR="005949AD" w:rsidRPr="005949AD">
        <w:rPr>
          <w:rFonts w:ascii="Times New Roman" w:hAnsi="Times New Roman" w:cs="Times New Roman"/>
          <w:sz w:val="22"/>
          <w:szCs w:val="22"/>
        </w:rPr>
        <w:t xml:space="preserve"> jetzt als </w:t>
      </w:r>
      <w:r w:rsidR="005949AD" w:rsidRPr="005949AD">
        <w:rPr>
          <w:rFonts w:ascii="Times New Roman" w:hAnsi="Times New Roman" w:cs="Times New Roman"/>
          <w:b/>
          <w:sz w:val="22"/>
          <w:szCs w:val="22"/>
        </w:rPr>
        <w:t>Basel III</w:t>
      </w:r>
      <w:r w:rsidR="005949AD" w:rsidRPr="005949AD">
        <w:rPr>
          <w:rFonts w:ascii="Times New Roman" w:hAnsi="Times New Roman" w:cs="Times New Roman"/>
          <w:sz w:val="22"/>
          <w:szCs w:val="22"/>
        </w:rPr>
        <w:t xml:space="preserve"> bezeichnet wird.</w:t>
      </w:r>
      <w:r w:rsidR="00763508">
        <w:rPr>
          <w:rFonts w:ascii="Times New Roman" w:hAnsi="Times New Roman" w:cs="Times New Roman"/>
          <w:sz w:val="22"/>
          <w:szCs w:val="22"/>
        </w:rPr>
        <w:t xml:space="preserve"> </w:t>
      </w:r>
      <w:r w:rsidR="00763508" w:rsidRPr="00763508">
        <w:rPr>
          <w:rFonts w:ascii="Times New Roman" w:hAnsi="Times New Roman" w:cs="Times New Roman"/>
          <w:sz w:val="22"/>
          <w:szCs w:val="22"/>
        </w:rPr>
        <w:t>Mit d</w:t>
      </w:r>
      <w:r w:rsidR="00763508">
        <w:rPr>
          <w:rFonts w:ascii="Times New Roman" w:hAnsi="Times New Roman" w:cs="Times New Roman"/>
          <w:sz w:val="22"/>
          <w:szCs w:val="22"/>
        </w:rPr>
        <w:t>ieser neuen Runde von Verbesserungen</w:t>
      </w:r>
      <w:r w:rsidR="00763508" w:rsidRPr="00763508">
        <w:rPr>
          <w:rFonts w:ascii="Times New Roman" w:hAnsi="Times New Roman" w:cs="Times New Roman"/>
          <w:sz w:val="22"/>
          <w:szCs w:val="22"/>
        </w:rPr>
        <w:t xml:space="preserve"> w</w:t>
      </w:r>
      <w:r w:rsidR="00763508">
        <w:rPr>
          <w:rFonts w:ascii="Times New Roman" w:hAnsi="Times New Roman" w:cs="Times New Roman"/>
          <w:sz w:val="22"/>
          <w:szCs w:val="22"/>
        </w:rPr>
        <w:t>u</w:t>
      </w:r>
      <w:r w:rsidR="00763508" w:rsidRPr="00763508">
        <w:rPr>
          <w:rFonts w:ascii="Times New Roman" w:hAnsi="Times New Roman" w:cs="Times New Roman"/>
          <w:sz w:val="22"/>
          <w:szCs w:val="22"/>
        </w:rPr>
        <w:t>rden die drei Säulen von Basel II überarbeitet</w:t>
      </w:r>
      <w:r w:rsidR="00481DA7">
        <w:rPr>
          <w:rFonts w:ascii="Times New Roman" w:hAnsi="Times New Roman" w:cs="Times New Roman"/>
          <w:sz w:val="22"/>
          <w:szCs w:val="22"/>
        </w:rPr>
        <w:t>,</w:t>
      </w:r>
      <w:r w:rsidR="00763508" w:rsidRPr="00763508">
        <w:rPr>
          <w:rFonts w:ascii="Times New Roman" w:hAnsi="Times New Roman" w:cs="Times New Roman"/>
          <w:sz w:val="22"/>
          <w:szCs w:val="22"/>
        </w:rPr>
        <w:t xml:space="preserve"> gestärkt und in </w:t>
      </w:r>
      <w:r w:rsidR="00763508">
        <w:rPr>
          <w:rFonts w:ascii="Times New Roman" w:hAnsi="Times New Roman" w:cs="Times New Roman"/>
          <w:sz w:val="22"/>
          <w:szCs w:val="22"/>
        </w:rPr>
        <w:t>folgenden</w:t>
      </w:r>
      <w:r w:rsidR="00763508" w:rsidRPr="00763508">
        <w:rPr>
          <w:rFonts w:ascii="Times New Roman" w:hAnsi="Times New Roman" w:cs="Times New Roman"/>
          <w:sz w:val="22"/>
          <w:szCs w:val="22"/>
        </w:rPr>
        <w:t xml:space="preserve"> Bereichen erweitert</w:t>
      </w:r>
      <w:r w:rsidR="00481DA7">
        <w:rPr>
          <w:rFonts w:ascii="Times New Roman" w:hAnsi="Times New Roman" w:cs="Times New Roman"/>
          <w:sz w:val="22"/>
          <w:szCs w:val="22"/>
        </w:rPr>
        <w:t xml:space="preserve"> (Abb. E.22.1)</w:t>
      </w:r>
      <w:r w:rsidR="00763508">
        <w:rPr>
          <w:rFonts w:ascii="Times New Roman" w:hAnsi="Times New Roman" w:cs="Times New Roman"/>
          <w:sz w:val="22"/>
          <w:szCs w:val="22"/>
        </w:rPr>
        <w:t>:</w:t>
      </w:r>
    </w:p>
    <w:p w14:paraId="70649F51" w14:textId="3815F0E0" w:rsidR="00763508" w:rsidRDefault="00763508" w:rsidP="006121BB">
      <w:pPr>
        <w:pStyle w:val="Listenabsatz"/>
        <w:numPr>
          <w:ilvl w:val="0"/>
          <w:numId w:val="3"/>
        </w:numPr>
        <w:spacing w:line="276" w:lineRule="auto"/>
        <w:jc w:val="both"/>
        <w:rPr>
          <w:rFonts w:ascii="Times New Roman" w:hAnsi="Times New Roman" w:cs="Times New Roman"/>
          <w:sz w:val="22"/>
          <w:szCs w:val="22"/>
        </w:rPr>
      </w:pPr>
      <w:r>
        <w:rPr>
          <w:rFonts w:ascii="Times New Roman" w:hAnsi="Times New Roman" w:cs="Times New Roman"/>
          <w:sz w:val="22"/>
          <w:szCs w:val="22"/>
        </w:rPr>
        <w:t>S</w:t>
      </w:r>
      <w:r w:rsidRPr="00763508">
        <w:rPr>
          <w:rFonts w:ascii="Times New Roman" w:hAnsi="Times New Roman" w:cs="Times New Roman"/>
          <w:sz w:val="22"/>
          <w:szCs w:val="22"/>
        </w:rPr>
        <w:t>trengere Anforderungen an die Qualität und Quantität des aufsichtsrechtlichen Eigenkapitals, insbesondere die Stärkung der zentralen Rolle des harten Kernkapitals</w:t>
      </w:r>
      <w:r>
        <w:rPr>
          <w:rFonts w:ascii="Times New Roman" w:hAnsi="Times New Roman" w:cs="Times New Roman"/>
          <w:sz w:val="22"/>
          <w:szCs w:val="22"/>
        </w:rPr>
        <w:t>;</w:t>
      </w:r>
    </w:p>
    <w:p w14:paraId="3CC69C1D" w14:textId="342BC97E" w:rsidR="00763508" w:rsidRDefault="00565BF2" w:rsidP="006121BB">
      <w:pPr>
        <w:pStyle w:val="Listenabsatz"/>
        <w:numPr>
          <w:ilvl w:val="0"/>
          <w:numId w:val="3"/>
        </w:numPr>
        <w:spacing w:line="276" w:lineRule="auto"/>
        <w:jc w:val="both"/>
        <w:rPr>
          <w:rFonts w:ascii="Times New Roman" w:hAnsi="Times New Roman" w:cs="Times New Roman"/>
          <w:sz w:val="22"/>
          <w:szCs w:val="22"/>
        </w:rPr>
      </w:pPr>
      <w:r>
        <w:rPr>
          <w:rFonts w:ascii="Times New Roman" w:hAnsi="Times New Roman" w:cs="Times New Roman"/>
          <w:sz w:val="22"/>
          <w:szCs w:val="22"/>
        </w:rPr>
        <w:t>E</w:t>
      </w:r>
      <w:r w:rsidR="00763508" w:rsidRPr="00763508">
        <w:rPr>
          <w:rFonts w:ascii="Times New Roman" w:hAnsi="Times New Roman" w:cs="Times New Roman"/>
          <w:sz w:val="22"/>
          <w:szCs w:val="22"/>
        </w:rPr>
        <w:t>ine zusätzliche Schicht des harten Kernkapitals - der Kapitalerhaltungspuffer - der, wenn er verletzt wird, die Ausschüttungen einschränkt, um die Mindestanforderungen an das harte Kernkapital zu erfüllen</w:t>
      </w:r>
      <w:r w:rsidR="00763508">
        <w:rPr>
          <w:rFonts w:ascii="Times New Roman" w:hAnsi="Times New Roman" w:cs="Times New Roman"/>
          <w:sz w:val="22"/>
          <w:szCs w:val="22"/>
        </w:rPr>
        <w:t>;</w:t>
      </w:r>
    </w:p>
    <w:p w14:paraId="35E0E279" w14:textId="684AC5B6" w:rsidR="00763508" w:rsidRDefault="00565BF2" w:rsidP="006121BB">
      <w:pPr>
        <w:pStyle w:val="Listenabsatz"/>
        <w:numPr>
          <w:ilvl w:val="0"/>
          <w:numId w:val="3"/>
        </w:numPr>
        <w:spacing w:line="276" w:lineRule="auto"/>
        <w:jc w:val="both"/>
        <w:rPr>
          <w:rFonts w:ascii="Times New Roman" w:hAnsi="Times New Roman" w:cs="Times New Roman"/>
          <w:sz w:val="22"/>
          <w:szCs w:val="22"/>
        </w:rPr>
      </w:pPr>
      <w:r>
        <w:rPr>
          <w:rFonts w:ascii="Times New Roman" w:hAnsi="Times New Roman" w:cs="Times New Roman"/>
          <w:sz w:val="22"/>
          <w:szCs w:val="22"/>
        </w:rPr>
        <w:t>E</w:t>
      </w:r>
      <w:r w:rsidR="00763508" w:rsidRPr="00763508">
        <w:rPr>
          <w:rFonts w:ascii="Times New Roman" w:hAnsi="Times New Roman" w:cs="Times New Roman"/>
          <w:sz w:val="22"/>
          <w:szCs w:val="22"/>
        </w:rPr>
        <w:t>inen antizyklischen Kapitalpuffer, der die Beteiligung der Banken an systemweiten Kreditbooms einschränkt, um ihre Verluste bei Kreditengpässen zu verringern</w:t>
      </w:r>
      <w:r w:rsidR="00763508">
        <w:rPr>
          <w:rFonts w:ascii="Times New Roman" w:hAnsi="Times New Roman" w:cs="Times New Roman"/>
          <w:sz w:val="22"/>
          <w:szCs w:val="22"/>
        </w:rPr>
        <w:t>;</w:t>
      </w:r>
    </w:p>
    <w:p w14:paraId="4F87449D" w14:textId="08359C9A" w:rsidR="00763508" w:rsidRDefault="00565BF2" w:rsidP="006121BB">
      <w:pPr>
        <w:pStyle w:val="Listenabsatz"/>
        <w:numPr>
          <w:ilvl w:val="0"/>
          <w:numId w:val="3"/>
        </w:numPr>
        <w:spacing w:line="276" w:lineRule="auto"/>
        <w:jc w:val="both"/>
        <w:rPr>
          <w:rFonts w:ascii="Times New Roman" w:hAnsi="Times New Roman" w:cs="Times New Roman"/>
          <w:sz w:val="22"/>
          <w:szCs w:val="22"/>
        </w:rPr>
      </w:pPr>
      <w:r>
        <w:rPr>
          <w:rFonts w:ascii="Times New Roman" w:hAnsi="Times New Roman" w:cs="Times New Roman"/>
          <w:sz w:val="22"/>
          <w:szCs w:val="22"/>
        </w:rPr>
        <w:t>E</w:t>
      </w:r>
      <w:r w:rsidR="00763508" w:rsidRPr="00763508">
        <w:rPr>
          <w:rFonts w:ascii="Times New Roman" w:hAnsi="Times New Roman" w:cs="Times New Roman"/>
          <w:sz w:val="22"/>
          <w:szCs w:val="22"/>
        </w:rPr>
        <w:t>ine Verschuldungsquote (</w:t>
      </w:r>
      <w:proofErr w:type="spellStart"/>
      <w:r w:rsidR="00763508" w:rsidRPr="00763508">
        <w:rPr>
          <w:rFonts w:ascii="Times New Roman" w:hAnsi="Times New Roman" w:cs="Times New Roman"/>
          <w:sz w:val="22"/>
          <w:szCs w:val="22"/>
        </w:rPr>
        <w:t>Leverage</w:t>
      </w:r>
      <w:proofErr w:type="spellEnd"/>
      <w:r w:rsidR="00763508" w:rsidRPr="00763508">
        <w:rPr>
          <w:rFonts w:ascii="Times New Roman" w:hAnsi="Times New Roman" w:cs="Times New Roman"/>
          <w:sz w:val="22"/>
          <w:szCs w:val="22"/>
        </w:rPr>
        <w:t xml:space="preserve"> Ratio) - ein Mindestbetrag an verlustabsorbierendem Kapital im Verhältnis zu allen Vermögenswerten und außerbilanziellen Engagements einer </w:t>
      </w:r>
      <w:r w:rsidR="00763508" w:rsidRPr="002C4BA9">
        <w:rPr>
          <w:rFonts w:ascii="Times New Roman" w:hAnsi="Times New Roman" w:cs="Times New Roman"/>
          <w:sz w:val="22"/>
          <w:szCs w:val="22"/>
        </w:rPr>
        <w:t>Bank</w:t>
      </w:r>
      <w:r w:rsidR="00E57752" w:rsidRPr="002C4BA9">
        <w:rPr>
          <w:rFonts w:ascii="Times New Roman" w:hAnsi="Times New Roman" w:cs="Times New Roman"/>
          <w:sz w:val="22"/>
          <w:szCs w:val="22"/>
        </w:rPr>
        <w:t>,</w:t>
      </w:r>
      <w:r w:rsidR="00763508" w:rsidRPr="002C4BA9">
        <w:rPr>
          <w:rFonts w:ascii="Times New Roman" w:hAnsi="Times New Roman" w:cs="Times New Roman"/>
          <w:sz w:val="22"/>
          <w:szCs w:val="22"/>
        </w:rPr>
        <w:t xml:space="preserve"> unabhängig von der Risikogewichtung</w:t>
      </w:r>
      <w:r w:rsidR="00763508">
        <w:rPr>
          <w:rFonts w:ascii="Times New Roman" w:hAnsi="Times New Roman" w:cs="Times New Roman"/>
          <w:sz w:val="22"/>
          <w:szCs w:val="22"/>
        </w:rPr>
        <w:t>;</w:t>
      </w:r>
    </w:p>
    <w:p w14:paraId="5D4A2549" w14:textId="31461CB7" w:rsidR="00763508" w:rsidRDefault="00763508" w:rsidP="006121BB">
      <w:pPr>
        <w:pStyle w:val="Listenabsatz"/>
        <w:numPr>
          <w:ilvl w:val="0"/>
          <w:numId w:val="3"/>
        </w:numPr>
        <w:spacing w:line="276" w:lineRule="auto"/>
        <w:jc w:val="both"/>
        <w:rPr>
          <w:rFonts w:ascii="Times New Roman" w:hAnsi="Times New Roman" w:cs="Times New Roman"/>
          <w:sz w:val="22"/>
          <w:szCs w:val="22"/>
        </w:rPr>
      </w:pPr>
      <w:r w:rsidRPr="00763508">
        <w:rPr>
          <w:rFonts w:ascii="Times New Roman" w:hAnsi="Times New Roman" w:cs="Times New Roman"/>
          <w:sz w:val="22"/>
          <w:szCs w:val="22"/>
        </w:rPr>
        <w:t>Liquiditätsanforderungen - eine Mindestliquiditätsquote, die Liquiditätsdeckungsquote (</w:t>
      </w:r>
      <w:proofErr w:type="spellStart"/>
      <w:r w:rsidRPr="00763508">
        <w:rPr>
          <w:rFonts w:ascii="Times New Roman" w:hAnsi="Times New Roman" w:cs="Times New Roman"/>
          <w:sz w:val="22"/>
          <w:szCs w:val="22"/>
        </w:rPr>
        <w:t>Liquidity</w:t>
      </w:r>
      <w:proofErr w:type="spellEnd"/>
      <w:r w:rsidRPr="00763508">
        <w:rPr>
          <w:rFonts w:ascii="Times New Roman" w:hAnsi="Times New Roman" w:cs="Times New Roman"/>
          <w:sz w:val="22"/>
          <w:szCs w:val="22"/>
        </w:rPr>
        <w:t xml:space="preserve"> Coverage Ratio, LCR), die ausreichend Barmittel zur Deckung des Finanzierungsbedarfs in einem 30-tägigen Stresszeitraum bereitstellen soll, und eine längerfristige Quote, die Net Stable Funding Ratio (NSFR), die Laufzeitinkongruenzen in der gesamten Bilanz ausgleichen soll</w:t>
      </w:r>
      <w:r w:rsidR="00565BF2">
        <w:rPr>
          <w:rFonts w:ascii="Times New Roman" w:hAnsi="Times New Roman" w:cs="Times New Roman"/>
          <w:sz w:val="22"/>
          <w:szCs w:val="22"/>
        </w:rPr>
        <w:t>;</w:t>
      </w:r>
    </w:p>
    <w:p w14:paraId="69C85D0A" w14:textId="602A81D7" w:rsidR="00565BF2" w:rsidRDefault="00565BF2" w:rsidP="006121BB">
      <w:pPr>
        <w:pStyle w:val="Listenabsatz"/>
        <w:numPr>
          <w:ilvl w:val="0"/>
          <w:numId w:val="3"/>
        </w:numPr>
        <w:spacing w:line="276" w:lineRule="auto"/>
        <w:jc w:val="both"/>
        <w:rPr>
          <w:rFonts w:ascii="Times New Roman" w:hAnsi="Times New Roman" w:cs="Times New Roman"/>
          <w:sz w:val="22"/>
          <w:szCs w:val="22"/>
        </w:rPr>
      </w:pPr>
      <w:r>
        <w:rPr>
          <w:rFonts w:ascii="Times New Roman" w:hAnsi="Times New Roman" w:cs="Times New Roman"/>
          <w:sz w:val="22"/>
          <w:szCs w:val="22"/>
        </w:rPr>
        <w:t>Z</w:t>
      </w:r>
      <w:r w:rsidRPr="00565BF2">
        <w:rPr>
          <w:rFonts w:ascii="Times New Roman" w:hAnsi="Times New Roman" w:cs="Times New Roman"/>
          <w:sz w:val="22"/>
          <w:szCs w:val="22"/>
        </w:rPr>
        <w:t>usätzliche Anforderungen für systemrelevante Banken, einschließlich zusätzlicher Verlustabsorptionsfähigkeit und verstärkter Vorkehrungen für die grenzüberschreitende Aufsicht und Abwicklung</w:t>
      </w:r>
      <w:r w:rsidR="006121BB">
        <w:rPr>
          <w:rFonts w:ascii="Times New Roman" w:hAnsi="Times New Roman" w:cs="Times New Roman"/>
          <w:sz w:val="22"/>
          <w:szCs w:val="22"/>
        </w:rPr>
        <w:t>.</w:t>
      </w:r>
    </w:p>
    <w:p w14:paraId="580D5DF6" w14:textId="77777777" w:rsidR="00763508" w:rsidRDefault="00763508" w:rsidP="00776B62">
      <w:pPr>
        <w:pStyle w:val="Listenabsatz"/>
        <w:spacing w:line="312" w:lineRule="auto"/>
        <w:ind w:left="0"/>
        <w:jc w:val="both"/>
        <w:rPr>
          <w:rFonts w:ascii="Times New Roman" w:hAnsi="Times New Roman" w:cs="Times New Roman"/>
          <w:sz w:val="22"/>
          <w:szCs w:val="22"/>
        </w:rPr>
      </w:pPr>
    </w:p>
    <w:p w14:paraId="3ACBABE1" w14:textId="77777777" w:rsidR="00481DA7" w:rsidRDefault="00481DA7" w:rsidP="00776B62">
      <w:pPr>
        <w:pStyle w:val="Listenabsatz"/>
        <w:spacing w:line="312" w:lineRule="auto"/>
        <w:ind w:left="0"/>
        <w:jc w:val="both"/>
        <w:rPr>
          <w:rFonts w:ascii="Times New Roman" w:hAnsi="Times New Roman" w:cs="Times New Roman"/>
          <w:sz w:val="22"/>
          <w:szCs w:val="22"/>
        </w:rPr>
      </w:pPr>
    </w:p>
    <w:p w14:paraId="7D99F384" w14:textId="77777777" w:rsidR="00481DA7" w:rsidRDefault="00481DA7" w:rsidP="00776B62">
      <w:pPr>
        <w:pStyle w:val="Listenabsatz"/>
        <w:spacing w:line="312" w:lineRule="auto"/>
        <w:ind w:left="0"/>
        <w:jc w:val="both"/>
        <w:rPr>
          <w:rFonts w:ascii="Times New Roman" w:hAnsi="Times New Roman" w:cs="Times New Roman"/>
          <w:sz w:val="22"/>
          <w:szCs w:val="22"/>
        </w:rPr>
      </w:pPr>
    </w:p>
    <w:p w14:paraId="4343B629" w14:textId="62EAC00F" w:rsidR="004745E6" w:rsidRDefault="0065486C" w:rsidP="0065486C">
      <w:pPr>
        <w:pStyle w:val="Textkrper"/>
        <w:pBdr>
          <w:top w:val="single" w:sz="4" w:space="1" w:color="auto"/>
          <w:left w:val="single" w:sz="4" w:space="4" w:color="auto"/>
          <w:bottom w:val="single" w:sz="4" w:space="1" w:color="auto"/>
          <w:right w:val="single" w:sz="4" w:space="27" w:color="auto"/>
        </w:pBdr>
        <w:spacing w:line="276" w:lineRule="auto"/>
        <w:ind w:right="792"/>
        <w:jc w:val="center"/>
        <w:rPr>
          <w:sz w:val="22"/>
          <w:szCs w:val="22"/>
        </w:rPr>
      </w:pPr>
      <w:r>
        <w:rPr>
          <w:noProof/>
        </w:rPr>
        <w:lastRenderedPageBreak/>
        <w:drawing>
          <wp:inline distT="0" distB="0" distL="0" distR="0" wp14:anchorId="62D6D816" wp14:editId="5FF0CE10">
            <wp:extent cx="4406482" cy="2952226"/>
            <wp:effectExtent l="0" t="0" r="0" b="63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4423754" cy="2963798"/>
                    </a:xfrm>
                    <a:prstGeom prst="rect">
                      <a:avLst/>
                    </a:prstGeom>
                  </pic:spPr>
                </pic:pic>
              </a:graphicData>
            </a:graphic>
          </wp:inline>
        </w:drawing>
      </w:r>
    </w:p>
    <w:p w14:paraId="420F3D72" w14:textId="4FAD2D90" w:rsidR="004745E6" w:rsidRDefault="003A46AB" w:rsidP="003A46AB">
      <w:pPr>
        <w:pStyle w:val="Textkrper"/>
        <w:pBdr>
          <w:top w:val="single" w:sz="4" w:space="1" w:color="auto"/>
          <w:left w:val="single" w:sz="4" w:space="4" w:color="auto"/>
          <w:bottom w:val="single" w:sz="4" w:space="1" w:color="auto"/>
          <w:right w:val="single" w:sz="4" w:space="27" w:color="auto"/>
        </w:pBdr>
        <w:spacing w:line="300" w:lineRule="atLeast"/>
        <w:ind w:right="792"/>
        <w:jc w:val="center"/>
        <w:rPr>
          <w:sz w:val="22"/>
          <w:szCs w:val="22"/>
        </w:rPr>
      </w:pPr>
      <w:r>
        <w:rPr>
          <w:noProof/>
        </w:rPr>
        <w:drawing>
          <wp:inline distT="0" distB="0" distL="0" distR="0" wp14:anchorId="41B9CB7F" wp14:editId="3BF4918D">
            <wp:extent cx="4381067" cy="2534856"/>
            <wp:effectExtent l="0" t="0" r="635" b="0"/>
            <wp:docPr id="3" name="Grafik 3" descr="Ein Bild, das Tisch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Ein Bild, das Tisch enthält.&#10;&#10;Automatisch generierte Beschreibung"/>
                    <pic:cNvPicPr/>
                  </pic:nvPicPr>
                  <pic:blipFill>
                    <a:blip r:embed="rId8"/>
                    <a:stretch>
                      <a:fillRect/>
                    </a:stretch>
                  </pic:blipFill>
                  <pic:spPr>
                    <a:xfrm>
                      <a:off x="0" y="0"/>
                      <a:ext cx="4415875" cy="2554996"/>
                    </a:xfrm>
                    <a:prstGeom prst="rect">
                      <a:avLst/>
                    </a:prstGeom>
                  </pic:spPr>
                </pic:pic>
              </a:graphicData>
            </a:graphic>
          </wp:inline>
        </w:drawing>
      </w:r>
    </w:p>
    <w:p w14:paraId="5A4B29F8" w14:textId="01253154" w:rsidR="004745E6" w:rsidRPr="00962696" w:rsidRDefault="004745E6" w:rsidP="00934309">
      <w:pPr>
        <w:spacing w:before="120"/>
        <w:jc w:val="center"/>
        <w:rPr>
          <w:rFonts w:ascii="Times New Roman" w:hAnsi="Times New Roman" w:cs="Times New Roman"/>
          <w:sz w:val="22"/>
          <w:szCs w:val="22"/>
        </w:rPr>
      </w:pPr>
      <w:r w:rsidRPr="0023665D">
        <w:rPr>
          <w:rFonts w:ascii="Times New Roman" w:hAnsi="Times New Roman" w:cs="Times New Roman"/>
          <w:i/>
          <w:iCs/>
          <w:sz w:val="22"/>
          <w:szCs w:val="22"/>
        </w:rPr>
        <w:t xml:space="preserve">Abb. </w:t>
      </w:r>
      <w:r>
        <w:rPr>
          <w:rFonts w:ascii="Times New Roman" w:hAnsi="Times New Roman" w:cs="Times New Roman"/>
          <w:i/>
          <w:iCs/>
          <w:sz w:val="22"/>
          <w:szCs w:val="22"/>
        </w:rPr>
        <w:t>E.</w:t>
      </w:r>
      <w:r w:rsidRPr="0023665D">
        <w:rPr>
          <w:rFonts w:ascii="Times New Roman" w:hAnsi="Times New Roman" w:cs="Times New Roman"/>
          <w:i/>
          <w:iCs/>
          <w:sz w:val="22"/>
          <w:szCs w:val="22"/>
        </w:rPr>
        <w:t>22.</w:t>
      </w:r>
      <w:r>
        <w:rPr>
          <w:rFonts w:ascii="Times New Roman" w:hAnsi="Times New Roman" w:cs="Times New Roman"/>
          <w:i/>
          <w:iCs/>
          <w:sz w:val="22"/>
          <w:szCs w:val="22"/>
        </w:rPr>
        <w:t>1</w:t>
      </w:r>
      <w:r w:rsidRPr="0023665D">
        <w:rPr>
          <w:rFonts w:ascii="Times New Roman" w:hAnsi="Times New Roman" w:cs="Times New Roman"/>
          <w:i/>
          <w:iCs/>
          <w:sz w:val="22"/>
          <w:szCs w:val="22"/>
        </w:rPr>
        <w:t xml:space="preserve">: </w:t>
      </w:r>
      <w:r>
        <w:rPr>
          <w:rFonts w:ascii="Times New Roman" w:hAnsi="Times New Roman" w:cs="Times New Roman"/>
          <w:i/>
          <w:iCs/>
          <w:sz w:val="22"/>
          <w:szCs w:val="22"/>
        </w:rPr>
        <w:t>Entwicklung de</w:t>
      </w:r>
      <w:r w:rsidR="00CE2E58">
        <w:rPr>
          <w:rFonts w:ascii="Times New Roman" w:hAnsi="Times New Roman" w:cs="Times New Roman"/>
          <w:i/>
          <w:iCs/>
          <w:sz w:val="22"/>
          <w:szCs w:val="22"/>
        </w:rPr>
        <w:t>s</w:t>
      </w:r>
      <w:r>
        <w:rPr>
          <w:rFonts w:ascii="Times New Roman" w:hAnsi="Times New Roman" w:cs="Times New Roman"/>
          <w:i/>
          <w:iCs/>
          <w:sz w:val="22"/>
          <w:szCs w:val="22"/>
        </w:rPr>
        <w:t xml:space="preserve"> internationalen </w:t>
      </w:r>
      <w:r w:rsidR="00CE2E58">
        <w:rPr>
          <w:rFonts w:ascii="Times New Roman" w:hAnsi="Times New Roman" w:cs="Times New Roman"/>
          <w:i/>
          <w:iCs/>
          <w:sz w:val="22"/>
          <w:szCs w:val="22"/>
        </w:rPr>
        <w:t>Regelwerks des Basler Ausschusses</w:t>
      </w:r>
    </w:p>
    <w:p w14:paraId="0BA13A3C" w14:textId="77777777" w:rsidR="004745E6" w:rsidRDefault="004745E6" w:rsidP="00565BF2">
      <w:pPr>
        <w:pStyle w:val="Listenabsatz"/>
        <w:spacing w:line="312" w:lineRule="auto"/>
        <w:ind w:left="0"/>
        <w:rPr>
          <w:rFonts w:ascii="Times New Roman" w:hAnsi="Times New Roman" w:cs="Times New Roman"/>
          <w:sz w:val="22"/>
          <w:szCs w:val="22"/>
        </w:rPr>
      </w:pPr>
    </w:p>
    <w:p w14:paraId="304B4D16" w14:textId="603C5DCA" w:rsidR="00565BF2" w:rsidRPr="002C4BA9" w:rsidRDefault="00763508" w:rsidP="006121BB">
      <w:pPr>
        <w:pStyle w:val="Listenabsatz"/>
        <w:spacing w:after="120" w:line="276" w:lineRule="auto"/>
        <w:ind w:left="0"/>
        <w:contextualSpacing w:val="0"/>
        <w:jc w:val="both"/>
        <w:rPr>
          <w:rFonts w:ascii="Times New Roman" w:hAnsi="Times New Roman" w:cs="Times New Roman"/>
          <w:sz w:val="22"/>
          <w:szCs w:val="22"/>
        </w:rPr>
      </w:pPr>
      <w:r w:rsidRPr="00763508">
        <w:rPr>
          <w:rFonts w:ascii="Times New Roman" w:hAnsi="Times New Roman" w:cs="Times New Roman"/>
          <w:sz w:val="22"/>
          <w:szCs w:val="22"/>
        </w:rPr>
        <w:t>Die meisten Reformen w</w:t>
      </w:r>
      <w:r>
        <w:rPr>
          <w:rFonts w:ascii="Times New Roman" w:hAnsi="Times New Roman" w:cs="Times New Roman"/>
          <w:sz w:val="22"/>
          <w:szCs w:val="22"/>
        </w:rPr>
        <w:t>u</w:t>
      </w:r>
      <w:r w:rsidRPr="00763508">
        <w:rPr>
          <w:rFonts w:ascii="Times New Roman" w:hAnsi="Times New Roman" w:cs="Times New Roman"/>
          <w:sz w:val="22"/>
          <w:szCs w:val="22"/>
        </w:rPr>
        <w:t>rden zwischen 2013 und 2019 schrittweise eingeführt</w:t>
      </w:r>
      <w:r w:rsidR="00565BF2">
        <w:rPr>
          <w:rFonts w:ascii="Times New Roman" w:hAnsi="Times New Roman" w:cs="Times New Roman"/>
          <w:sz w:val="22"/>
          <w:szCs w:val="22"/>
        </w:rPr>
        <w:t xml:space="preserve">. </w:t>
      </w:r>
      <w:r w:rsidR="00565BF2" w:rsidRPr="00565BF2">
        <w:rPr>
          <w:rFonts w:ascii="Times New Roman" w:hAnsi="Times New Roman" w:cs="Times New Roman"/>
          <w:sz w:val="22"/>
          <w:szCs w:val="22"/>
        </w:rPr>
        <w:t xml:space="preserve">Der Ausschuss schloss </w:t>
      </w:r>
      <w:r w:rsidR="00780376" w:rsidRPr="002C4BA9">
        <w:rPr>
          <w:rFonts w:ascii="Times New Roman" w:hAnsi="Times New Roman" w:cs="Times New Roman"/>
          <w:sz w:val="22"/>
          <w:szCs w:val="22"/>
        </w:rPr>
        <w:t xml:space="preserve">im Jahr </w:t>
      </w:r>
      <w:r w:rsidR="00565BF2" w:rsidRPr="002C4BA9">
        <w:rPr>
          <w:rFonts w:ascii="Times New Roman" w:hAnsi="Times New Roman" w:cs="Times New Roman"/>
          <w:sz w:val="22"/>
          <w:szCs w:val="22"/>
        </w:rPr>
        <w:t>2017 seine Basel-III-Reformen mit der Veröffentlichung neuer Standards für die Berechnung der Eigenkapitalanforderungen für das Kreditrisiko, das Risiko von Kreditwertberichtigungen und das operationelle Risiko ab. Mit dieser jüngsten Runde von Reformen sollten die Mängel des Regulierungsrahmens aus der Zeit vor der Krise behoben werden.</w:t>
      </w:r>
    </w:p>
    <w:p w14:paraId="758AABB3" w14:textId="2CFC1C6A" w:rsidR="0015766A" w:rsidRPr="002C4BA9" w:rsidRDefault="0015766A" w:rsidP="006121BB">
      <w:pPr>
        <w:pStyle w:val="Listenabsatz"/>
        <w:spacing w:after="120" w:line="276" w:lineRule="auto"/>
        <w:ind w:left="0"/>
        <w:contextualSpacing w:val="0"/>
        <w:jc w:val="both"/>
        <w:rPr>
          <w:rFonts w:ascii="Times New Roman" w:hAnsi="Times New Roman" w:cs="Times New Roman"/>
          <w:b/>
          <w:bCs w:val="0"/>
          <w:sz w:val="22"/>
          <w:szCs w:val="22"/>
        </w:rPr>
      </w:pPr>
      <w:r w:rsidRPr="002C4BA9">
        <w:rPr>
          <w:rFonts w:ascii="Times New Roman" w:hAnsi="Times New Roman" w:cs="Times New Roman"/>
          <w:b/>
          <w:bCs w:val="0"/>
          <w:sz w:val="22"/>
          <w:szCs w:val="22"/>
        </w:rPr>
        <w:t>Kritik der Basler Regelungen</w:t>
      </w:r>
    </w:p>
    <w:p w14:paraId="608B8DEB" w14:textId="55E21B27" w:rsidR="00576314" w:rsidRPr="00565BF2" w:rsidRDefault="00576314" w:rsidP="006121BB">
      <w:pPr>
        <w:pStyle w:val="Listenabsatz"/>
        <w:spacing w:line="276" w:lineRule="auto"/>
        <w:ind w:left="0"/>
        <w:jc w:val="both"/>
        <w:rPr>
          <w:rFonts w:ascii="Times New Roman" w:hAnsi="Times New Roman" w:cs="Times New Roman"/>
          <w:sz w:val="22"/>
          <w:szCs w:val="22"/>
        </w:rPr>
      </w:pPr>
      <w:r w:rsidRPr="002C4BA9">
        <w:rPr>
          <w:rFonts w:ascii="Times New Roman" w:hAnsi="Times New Roman" w:cs="Times New Roman"/>
          <w:sz w:val="22"/>
          <w:szCs w:val="22"/>
        </w:rPr>
        <w:t>Auch wenn die Notwendigkeit eines gemeinsamen globalen regulatorischen Rahmen</w:t>
      </w:r>
      <w:r w:rsidR="00926B4F" w:rsidRPr="002C4BA9">
        <w:rPr>
          <w:rFonts w:ascii="Times New Roman" w:hAnsi="Times New Roman" w:cs="Times New Roman"/>
          <w:sz w:val="22"/>
          <w:szCs w:val="22"/>
        </w:rPr>
        <w:t>s</w:t>
      </w:r>
      <w:r w:rsidRPr="002C4BA9">
        <w:rPr>
          <w:rFonts w:ascii="Times New Roman" w:hAnsi="Times New Roman" w:cs="Times New Roman"/>
          <w:sz w:val="22"/>
          <w:szCs w:val="22"/>
        </w:rPr>
        <w:t xml:space="preserve"> für den Bankensektor auf breite Zustimmung st</w:t>
      </w:r>
      <w:r w:rsidR="009602A1" w:rsidRPr="002C4BA9">
        <w:rPr>
          <w:rFonts w:ascii="Times New Roman" w:hAnsi="Times New Roman" w:cs="Times New Roman"/>
          <w:sz w:val="22"/>
          <w:szCs w:val="22"/>
        </w:rPr>
        <w:t>ö</w:t>
      </w:r>
      <w:r w:rsidRPr="002C4BA9">
        <w:rPr>
          <w:rFonts w:ascii="Times New Roman" w:hAnsi="Times New Roman" w:cs="Times New Roman"/>
          <w:sz w:val="22"/>
          <w:szCs w:val="22"/>
        </w:rPr>
        <w:t xml:space="preserve">ßt, mangelt es nicht an Kritik der vom Basler Ausschuss erzielten Ergebnisse. So bemängeln Kritiker, dass die Regelungen nur als </w:t>
      </w:r>
      <w:r w:rsidR="00926B4F" w:rsidRPr="002C4BA9">
        <w:rPr>
          <w:rFonts w:ascii="Times New Roman" w:hAnsi="Times New Roman" w:cs="Times New Roman"/>
          <w:sz w:val="22"/>
          <w:szCs w:val="22"/>
        </w:rPr>
        <w:t xml:space="preserve">verspätete </w:t>
      </w:r>
      <w:r w:rsidRPr="002C4BA9">
        <w:rPr>
          <w:rFonts w:ascii="Times New Roman" w:hAnsi="Times New Roman" w:cs="Times New Roman"/>
          <w:sz w:val="22"/>
          <w:szCs w:val="22"/>
        </w:rPr>
        <w:t xml:space="preserve">Reaktion </w:t>
      </w:r>
      <w:r w:rsidR="00926B4F" w:rsidRPr="002C4BA9">
        <w:rPr>
          <w:rFonts w:ascii="Times New Roman" w:hAnsi="Times New Roman" w:cs="Times New Roman"/>
          <w:sz w:val="22"/>
          <w:szCs w:val="22"/>
        </w:rPr>
        <w:t>auf entstandene Krisen konzipiert ist. Folglich werden die potentiellen zukünftigen Risiken vernachlässigt. Die große Schwierigkeit dabei ist, die bisher noch nie dagewesene</w:t>
      </w:r>
      <w:r w:rsidR="009602A1" w:rsidRPr="002C4BA9">
        <w:rPr>
          <w:rFonts w:ascii="Times New Roman" w:hAnsi="Times New Roman" w:cs="Times New Roman"/>
          <w:sz w:val="22"/>
          <w:szCs w:val="22"/>
        </w:rPr>
        <w:t>n</w:t>
      </w:r>
      <w:r w:rsidR="00926B4F" w:rsidRPr="002C4BA9">
        <w:rPr>
          <w:rFonts w:ascii="Times New Roman" w:hAnsi="Times New Roman" w:cs="Times New Roman"/>
          <w:sz w:val="22"/>
          <w:szCs w:val="22"/>
        </w:rPr>
        <w:t xml:space="preserve"> Risiken überhaupt zu prognostizieren, zumal jede bisherige Krise durch andere Faktoren ausgelöst wurde. </w:t>
      </w:r>
      <w:r w:rsidR="00DA5715" w:rsidRPr="002C4BA9">
        <w:rPr>
          <w:rFonts w:ascii="Times New Roman" w:hAnsi="Times New Roman" w:cs="Times New Roman"/>
          <w:sz w:val="22"/>
          <w:szCs w:val="22"/>
        </w:rPr>
        <w:t>Dazu verweigern sich einige wichtige Volkswirtschaften, wie Großbritannien, einer verstärkten supra-nationalen Regulierung</w:t>
      </w:r>
      <w:r w:rsidR="009602A1" w:rsidRPr="002C4BA9">
        <w:rPr>
          <w:rFonts w:ascii="Times New Roman" w:hAnsi="Times New Roman" w:cs="Times New Roman"/>
          <w:sz w:val="22"/>
          <w:szCs w:val="22"/>
        </w:rPr>
        <w:t xml:space="preserve"> </w:t>
      </w:r>
      <w:r w:rsidR="00DA5715" w:rsidRPr="002C4BA9">
        <w:rPr>
          <w:rFonts w:ascii="Times New Roman" w:hAnsi="Times New Roman" w:cs="Times New Roman"/>
          <w:sz w:val="22"/>
          <w:szCs w:val="22"/>
        </w:rPr>
        <w:t xml:space="preserve">der Finanzmärkte, da sie damit auf ihre Souveränität nicht verzichten möchten. Auch in </w:t>
      </w:r>
      <w:r w:rsidR="00DA5715" w:rsidRPr="002C4BA9">
        <w:rPr>
          <w:rFonts w:ascii="Times New Roman" w:hAnsi="Times New Roman" w:cs="Times New Roman"/>
          <w:sz w:val="22"/>
          <w:szCs w:val="22"/>
        </w:rPr>
        <w:lastRenderedPageBreak/>
        <w:t>den USA gab es zuletzt erneut Tendenzen zu Deregulierung, was die globalen Anstrengungen im</w:t>
      </w:r>
      <w:r w:rsidR="00DA5715">
        <w:rPr>
          <w:rFonts w:ascii="Times New Roman" w:hAnsi="Times New Roman" w:cs="Times New Roman"/>
          <w:sz w:val="22"/>
          <w:szCs w:val="22"/>
        </w:rPr>
        <w:t xml:space="preserve"> Rahmen der Basel-Regelwerke untergr</w:t>
      </w:r>
      <w:r w:rsidR="007C1C0D">
        <w:rPr>
          <w:rFonts w:ascii="Times New Roman" w:hAnsi="Times New Roman" w:cs="Times New Roman"/>
          <w:sz w:val="22"/>
          <w:szCs w:val="22"/>
        </w:rPr>
        <w:t>a</w:t>
      </w:r>
      <w:r w:rsidR="00DA5715">
        <w:rPr>
          <w:rFonts w:ascii="Times New Roman" w:hAnsi="Times New Roman" w:cs="Times New Roman"/>
          <w:sz w:val="22"/>
          <w:szCs w:val="22"/>
        </w:rPr>
        <w:t>b</w:t>
      </w:r>
      <w:r w:rsidR="007C1C0D">
        <w:rPr>
          <w:rFonts w:ascii="Times New Roman" w:hAnsi="Times New Roman" w:cs="Times New Roman"/>
          <w:sz w:val="22"/>
          <w:szCs w:val="22"/>
        </w:rPr>
        <w:t>en könnte</w:t>
      </w:r>
      <w:r w:rsidR="00DA5715">
        <w:rPr>
          <w:rFonts w:ascii="Times New Roman" w:hAnsi="Times New Roman" w:cs="Times New Roman"/>
          <w:sz w:val="22"/>
          <w:szCs w:val="22"/>
        </w:rPr>
        <w:t>.</w:t>
      </w:r>
    </w:p>
    <w:p w14:paraId="53D90415" w14:textId="77777777" w:rsidR="00565BF2" w:rsidRPr="00565BF2" w:rsidRDefault="00565BF2" w:rsidP="00565BF2">
      <w:pPr>
        <w:pStyle w:val="Listenabsatz"/>
        <w:spacing w:line="312" w:lineRule="auto"/>
        <w:rPr>
          <w:rFonts w:ascii="Times New Roman" w:hAnsi="Times New Roman" w:cs="Times New Roman"/>
          <w:sz w:val="22"/>
          <w:szCs w:val="22"/>
        </w:rPr>
      </w:pPr>
    </w:p>
    <w:p w14:paraId="5DFF50F5" w14:textId="77777777" w:rsidR="00BB4FE3" w:rsidRPr="00BB4FE3" w:rsidRDefault="00BB4FE3" w:rsidP="00BB4FE3">
      <w:pPr>
        <w:pStyle w:val="Listenabsatz"/>
        <w:spacing w:line="312" w:lineRule="auto"/>
        <w:rPr>
          <w:rFonts w:ascii="Times New Roman" w:hAnsi="Times New Roman" w:cs="Times New Roman"/>
          <w:sz w:val="22"/>
          <w:szCs w:val="22"/>
        </w:rPr>
      </w:pPr>
    </w:p>
    <w:p w14:paraId="03A81308" w14:textId="561C6D39" w:rsidR="00BB4FE3" w:rsidRPr="00CE41EA" w:rsidRDefault="00BB4FE3" w:rsidP="00BB4FE3">
      <w:pPr>
        <w:pStyle w:val="Listenabsatz"/>
        <w:spacing w:line="312" w:lineRule="auto"/>
        <w:ind w:left="0"/>
        <w:rPr>
          <w:rFonts w:ascii="Times New Roman" w:hAnsi="Times New Roman" w:cs="Times New Roman"/>
          <w:sz w:val="22"/>
          <w:szCs w:val="22"/>
        </w:rPr>
      </w:pPr>
    </w:p>
    <w:sectPr w:rsidR="00BB4FE3" w:rsidRPr="00CE41EA">
      <w:headerReference w:type="default" r:id="rId9"/>
      <w:footerReference w:type="default" r:id="rId10"/>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159571" w14:textId="77777777" w:rsidR="00016DA6" w:rsidRDefault="00016DA6" w:rsidP="0015766A">
      <w:r>
        <w:separator/>
      </w:r>
    </w:p>
  </w:endnote>
  <w:endnote w:type="continuationSeparator" w:id="0">
    <w:p w14:paraId="70563080" w14:textId="77777777" w:rsidR="00016DA6" w:rsidRDefault="00016DA6" w:rsidP="001576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60846793"/>
      <w:docPartObj>
        <w:docPartGallery w:val="Page Numbers (Bottom of Page)"/>
        <w:docPartUnique/>
      </w:docPartObj>
    </w:sdtPr>
    <w:sdtEndPr/>
    <w:sdtContent>
      <w:p w14:paraId="758BC454" w14:textId="748AD936" w:rsidR="0015766A" w:rsidRDefault="0015766A">
        <w:pPr>
          <w:pStyle w:val="Fuzeile"/>
          <w:jc w:val="center"/>
        </w:pPr>
        <w:r>
          <w:fldChar w:fldCharType="begin"/>
        </w:r>
        <w:r>
          <w:instrText>PAGE   \* MERGEFORMAT</w:instrText>
        </w:r>
        <w:r>
          <w:fldChar w:fldCharType="separate"/>
        </w:r>
        <w:r>
          <w:t>2</w:t>
        </w:r>
        <w:r>
          <w:fldChar w:fldCharType="end"/>
        </w:r>
      </w:p>
    </w:sdtContent>
  </w:sdt>
  <w:p w14:paraId="72E110DB" w14:textId="77777777" w:rsidR="0015766A" w:rsidRDefault="0015766A">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3C977E" w14:textId="77777777" w:rsidR="00016DA6" w:rsidRDefault="00016DA6" w:rsidP="0015766A">
      <w:r>
        <w:separator/>
      </w:r>
    </w:p>
  </w:footnote>
  <w:footnote w:type="continuationSeparator" w:id="0">
    <w:p w14:paraId="0EC02AA0" w14:textId="77777777" w:rsidR="00016DA6" w:rsidRDefault="00016DA6" w:rsidP="0015766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52896167"/>
      <w:docPartObj>
        <w:docPartGallery w:val="Page Numbers (Top of Page)"/>
        <w:docPartUnique/>
      </w:docPartObj>
    </w:sdtPr>
    <w:sdtContent>
      <w:p w14:paraId="31568D69" w14:textId="4B2175EC" w:rsidR="00204822" w:rsidRDefault="00204822">
        <w:pPr>
          <w:pStyle w:val="Kopfzeile"/>
          <w:jc w:val="right"/>
        </w:pPr>
        <w:r>
          <w:fldChar w:fldCharType="begin"/>
        </w:r>
        <w:r>
          <w:instrText>PAGE   \* MERGEFORMAT</w:instrText>
        </w:r>
        <w:r>
          <w:fldChar w:fldCharType="separate"/>
        </w:r>
        <w:r>
          <w:t>2</w:t>
        </w:r>
        <w:r>
          <w:fldChar w:fldCharType="end"/>
        </w:r>
      </w:p>
    </w:sdtContent>
  </w:sdt>
  <w:p w14:paraId="0BE94929" w14:textId="77777777" w:rsidR="00204822" w:rsidRDefault="00204822">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68427B2"/>
    <w:multiLevelType w:val="hybridMultilevel"/>
    <w:tmpl w:val="E9B41CEE"/>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3834566B"/>
    <w:multiLevelType w:val="hybridMultilevel"/>
    <w:tmpl w:val="1E4A5F78"/>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73E84A2E"/>
    <w:multiLevelType w:val="hybridMultilevel"/>
    <w:tmpl w:val="70CCD7EA"/>
    <w:lvl w:ilvl="0" w:tplc="0407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81020118">
    <w:abstractNumId w:val="1"/>
  </w:num>
  <w:num w:numId="2" w16cid:durableId="92437028">
    <w:abstractNumId w:val="0"/>
  </w:num>
  <w:num w:numId="3" w16cid:durableId="205102609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3DB4"/>
    <w:rsid w:val="00016DA6"/>
    <w:rsid w:val="00057063"/>
    <w:rsid w:val="000750FC"/>
    <w:rsid w:val="0015766A"/>
    <w:rsid w:val="00204822"/>
    <w:rsid w:val="00241D63"/>
    <w:rsid w:val="002B3DB4"/>
    <w:rsid w:val="002B6CD0"/>
    <w:rsid w:val="002C4BA9"/>
    <w:rsid w:val="00370BCE"/>
    <w:rsid w:val="00396CC0"/>
    <w:rsid w:val="003A46AB"/>
    <w:rsid w:val="004745E6"/>
    <w:rsid w:val="00481DA7"/>
    <w:rsid w:val="004A3F16"/>
    <w:rsid w:val="004E5015"/>
    <w:rsid w:val="00565BF2"/>
    <w:rsid w:val="0057301D"/>
    <w:rsid w:val="00576314"/>
    <w:rsid w:val="005949AD"/>
    <w:rsid w:val="005A3EE8"/>
    <w:rsid w:val="006121BB"/>
    <w:rsid w:val="0065486C"/>
    <w:rsid w:val="00763508"/>
    <w:rsid w:val="00776B62"/>
    <w:rsid w:val="00780376"/>
    <w:rsid w:val="007C1C0D"/>
    <w:rsid w:val="008C278C"/>
    <w:rsid w:val="00926B4F"/>
    <w:rsid w:val="00934309"/>
    <w:rsid w:val="009602A1"/>
    <w:rsid w:val="00A85F09"/>
    <w:rsid w:val="00AD65FF"/>
    <w:rsid w:val="00B06B02"/>
    <w:rsid w:val="00B70221"/>
    <w:rsid w:val="00BB4FE3"/>
    <w:rsid w:val="00CE2E58"/>
    <w:rsid w:val="00CE41EA"/>
    <w:rsid w:val="00DA5715"/>
    <w:rsid w:val="00E2280C"/>
    <w:rsid w:val="00E37BF5"/>
    <w:rsid w:val="00E57752"/>
    <w:rsid w:val="00F338B9"/>
    <w:rsid w:val="00FC083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F66A7B7"/>
  <w15:chartTrackingRefBased/>
  <w15:docId w15:val="{2D7FB916-E86B-4D81-8607-E10788462C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B3DB4"/>
    <w:pPr>
      <w:spacing w:after="0" w:line="240" w:lineRule="auto"/>
    </w:pPr>
    <w:rPr>
      <w:rFonts w:ascii="Courier New" w:eastAsia="Times New Roman" w:hAnsi="Courier New" w:cs="Courier New"/>
      <w:bCs/>
      <w:sz w:val="24"/>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2B3DB4"/>
    <w:pPr>
      <w:ind w:left="720"/>
      <w:contextualSpacing/>
    </w:pPr>
  </w:style>
  <w:style w:type="paragraph" w:styleId="Textkrper">
    <w:name w:val="Body Text"/>
    <w:basedOn w:val="Standard"/>
    <w:link w:val="TextkrperZchn"/>
    <w:rsid w:val="004745E6"/>
    <w:pPr>
      <w:jc w:val="both"/>
    </w:pPr>
    <w:rPr>
      <w:rFonts w:ascii="Times New Roman" w:hAnsi="Times New Roman" w:cs="Times New Roman"/>
      <w:bCs w:val="0"/>
      <w:szCs w:val="24"/>
    </w:rPr>
  </w:style>
  <w:style w:type="character" w:customStyle="1" w:styleId="TextkrperZchn">
    <w:name w:val="Textkörper Zchn"/>
    <w:basedOn w:val="Absatz-Standardschriftart"/>
    <w:link w:val="Textkrper"/>
    <w:rsid w:val="004745E6"/>
    <w:rPr>
      <w:rFonts w:ascii="Times New Roman" w:eastAsia="Times New Roman" w:hAnsi="Times New Roman" w:cs="Times New Roman"/>
      <w:sz w:val="24"/>
      <w:szCs w:val="24"/>
      <w:lang w:eastAsia="de-DE"/>
    </w:rPr>
  </w:style>
  <w:style w:type="paragraph" w:styleId="Kopfzeile">
    <w:name w:val="header"/>
    <w:basedOn w:val="Standard"/>
    <w:link w:val="KopfzeileZchn"/>
    <w:uiPriority w:val="99"/>
    <w:unhideWhenUsed/>
    <w:rsid w:val="0015766A"/>
    <w:pPr>
      <w:tabs>
        <w:tab w:val="center" w:pos="4536"/>
        <w:tab w:val="right" w:pos="9072"/>
      </w:tabs>
    </w:pPr>
  </w:style>
  <w:style w:type="character" w:customStyle="1" w:styleId="KopfzeileZchn">
    <w:name w:val="Kopfzeile Zchn"/>
    <w:basedOn w:val="Absatz-Standardschriftart"/>
    <w:link w:val="Kopfzeile"/>
    <w:uiPriority w:val="99"/>
    <w:rsid w:val="0015766A"/>
    <w:rPr>
      <w:rFonts w:ascii="Courier New" w:eastAsia="Times New Roman" w:hAnsi="Courier New" w:cs="Courier New"/>
      <w:bCs/>
      <w:sz w:val="24"/>
      <w:szCs w:val="20"/>
      <w:lang w:eastAsia="de-DE"/>
    </w:rPr>
  </w:style>
  <w:style w:type="paragraph" w:styleId="Fuzeile">
    <w:name w:val="footer"/>
    <w:basedOn w:val="Standard"/>
    <w:link w:val="FuzeileZchn"/>
    <w:uiPriority w:val="99"/>
    <w:unhideWhenUsed/>
    <w:rsid w:val="0015766A"/>
    <w:pPr>
      <w:tabs>
        <w:tab w:val="center" w:pos="4536"/>
        <w:tab w:val="right" w:pos="9072"/>
      </w:tabs>
    </w:pPr>
  </w:style>
  <w:style w:type="character" w:customStyle="1" w:styleId="FuzeileZchn">
    <w:name w:val="Fußzeile Zchn"/>
    <w:basedOn w:val="Absatz-Standardschriftart"/>
    <w:link w:val="Fuzeile"/>
    <w:uiPriority w:val="99"/>
    <w:rsid w:val="0015766A"/>
    <w:rPr>
      <w:rFonts w:ascii="Courier New" w:eastAsia="Times New Roman" w:hAnsi="Courier New" w:cs="Courier New"/>
      <w:bCs/>
      <w:sz w:val="24"/>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1028</Words>
  <Characters>6483</Characters>
  <Application>Microsoft Office Word</Application>
  <DocSecurity>0</DocSecurity>
  <Lines>54</Lines>
  <Paragraphs>14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Agnieszka Gehringer</dc:creator>
  <cp:keywords/>
  <dc:description/>
  <cp:lastModifiedBy>Agnieszka Gehringer</cp:lastModifiedBy>
  <cp:revision>16</cp:revision>
  <dcterms:created xsi:type="dcterms:W3CDTF">2021-11-19T08:24:00Z</dcterms:created>
  <dcterms:modified xsi:type="dcterms:W3CDTF">2023-03-08T08:09:00Z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31ac907-69c7-41f8-b132-f74e8ef934a2_Enabled">
    <vt:lpwstr>true</vt:lpwstr>
  </property>
  <property fmtid="{D5CDD505-2E9C-101B-9397-08002B2CF9AE}" pid="3" name="MSIP_Label_e31ac907-69c7-41f8-b132-f74e8ef934a2_SetDate">
    <vt:lpwstr>2021-11-19T08:24:22Z</vt:lpwstr>
  </property>
  <property fmtid="{D5CDD505-2E9C-101B-9397-08002B2CF9AE}" pid="4" name="MSIP_Label_e31ac907-69c7-41f8-b132-f74e8ef934a2_Method">
    <vt:lpwstr>Standard</vt:lpwstr>
  </property>
  <property fmtid="{D5CDD505-2E9C-101B-9397-08002B2CF9AE}" pid="5" name="MSIP_Label_e31ac907-69c7-41f8-b132-f74e8ef934a2_Name">
    <vt:lpwstr>Internal Only</vt:lpwstr>
  </property>
  <property fmtid="{D5CDD505-2E9C-101B-9397-08002B2CF9AE}" pid="6" name="MSIP_Label_e31ac907-69c7-41f8-b132-f74e8ef934a2_SiteId">
    <vt:lpwstr>c6c6e603-a213-46ca-8926-75ec27c93e6f</vt:lpwstr>
  </property>
  <property fmtid="{D5CDD505-2E9C-101B-9397-08002B2CF9AE}" pid="7" name="MSIP_Label_e31ac907-69c7-41f8-b132-f74e8ef934a2_ActionId">
    <vt:lpwstr>65db0c9e-1bd9-4cde-a69a-a8c9c3bff26b</vt:lpwstr>
  </property>
  <property fmtid="{D5CDD505-2E9C-101B-9397-08002B2CF9AE}" pid="8" name="MSIP_Label_e31ac907-69c7-41f8-b132-f74e8ef934a2_ContentBits">
    <vt:lpwstr>0</vt:lpwstr>
  </property>
</Properties>
</file>